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6B2B" w14:textId="77777777" w:rsidR="003C7D45" w:rsidRPr="003C7D45" w:rsidRDefault="003C7D45" w:rsidP="003C7D45">
      <w:r w:rsidRPr="003C7D45">
        <w:rPr>
          <w:i/>
          <w:iCs/>
        </w:rPr>
        <w:t>As health actors meet this week in </w:t>
      </w:r>
      <w:hyperlink r:id="rId8" w:tgtFrame="_blank" w:history="1">
        <w:r w:rsidRPr="003C7D45">
          <w:rPr>
            <w:rStyle w:val="af0"/>
            <w:b/>
            <w:bCs/>
            <w:i/>
            <w:iCs/>
          </w:rPr>
          <w:t>Brasilia to refine a Health Action Plan for COP30</w:t>
        </w:r>
      </w:hyperlink>
      <w:r w:rsidRPr="003C7D45">
        <w:rPr>
          <w:i/>
          <w:iCs/>
        </w:rPr>
        <w:t>, ending relationships with PR firms that engage with fossil fuel producers is one concrete step both civil society and UN actors could take now, two leading global health actors argue. The call is the more urgent in light of the UN’s recent selection of a media firm </w:t>
      </w:r>
      <w:hyperlink r:id="rId9" w:tgtFrame="_blank" w:history="1">
        <w:r w:rsidRPr="003C7D45">
          <w:rPr>
            <w:rStyle w:val="af0"/>
            <w:b/>
            <w:bCs/>
            <w:i/>
            <w:iCs/>
          </w:rPr>
          <w:t>representing Shell</w:t>
        </w:r>
      </w:hyperlink>
      <w:r w:rsidRPr="003C7D45">
        <w:rPr>
          <w:i/>
          <w:iCs/>
        </w:rPr>
        <w:t> to promote the upcoming </w:t>
      </w:r>
      <w:hyperlink r:id="rId10" w:tgtFrame="_blank" w:history="1">
        <w:r w:rsidRPr="003C7D45">
          <w:rPr>
            <w:rStyle w:val="af0"/>
            <w:b/>
            <w:bCs/>
            <w:i/>
            <w:iCs/>
          </w:rPr>
          <w:t>UN Climate Conference (COP30)</w:t>
        </w:r>
      </w:hyperlink>
      <w:r w:rsidRPr="003C7D45">
        <w:rPr>
          <w:i/>
          <w:iCs/>
        </w:rPr>
        <w:t xml:space="preserve">, hosted by Brazil in </w:t>
      </w:r>
      <w:proofErr w:type="spellStart"/>
      <w:r w:rsidRPr="003C7D45">
        <w:rPr>
          <w:i/>
          <w:iCs/>
        </w:rPr>
        <w:t>Bélem</w:t>
      </w:r>
      <w:proofErr w:type="spellEnd"/>
      <w:r w:rsidRPr="003C7D45">
        <w:rPr>
          <w:i/>
          <w:iCs/>
        </w:rPr>
        <w:t>.</w:t>
      </w:r>
    </w:p>
    <w:p w14:paraId="09782DE9" w14:textId="77777777" w:rsidR="003C7D45" w:rsidRPr="003C7D45" w:rsidRDefault="003C7D45" w:rsidP="003C7D45">
      <w:r w:rsidRPr="003C7D45">
        <w:t>Even while the health impacts of fossil fuel use and climate change surge – through air pollution, intensifying heatwaves, wildfires, and floods – many health organizations remain entangled with public relations and advertising agencies that also serve the fossil fuel industry. </w:t>
      </w:r>
    </w:p>
    <w:p w14:paraId="6285FC97" w14:textId="77777777" w:rsidR="003C7D45" w:rsidRPr="003C7D45" w:rsidRDefault="003C7D45" w:rsidP="003C7D45">
      <w:r w:rsidRPr="003C7D45">
        <w:t>It’s a deeply troubling contradiction that must end, especially given the recent</w:t>
      </w:r>
      <w:hyperlink r:id="rId11" w:history="1">
        <w:r w:rsidRPr="003C7D45">
          <w:rPr>
            <w:rStyle w:val="af0"/>
          </w:rPr>
          <w:t> ruling by the International Court of Justice</w:t>
        </w:r>
      </w:hyperlink>
      <w:r w:rsidRPr="003C7D45">
        <w:t> affirming that states may be held legally responsible for harm caused by fossil fuel emissions – including health harms. There is no justification for continued health sector alignment with fossil fuel interests</w:t>
      </w:r>
    </w:p>
    <w:p w14:paraId="4938087E" w14:textId="77777777" w:rsidR="003C7D45" w:rsidRPr="003C7D45" w:rsidRDefault="003C7D45" w:rsidP="003C7D45">
      <w:r w:rsidRPr="003C7D45">
        <w:t xml:space="preserve"> For decades, fossil fuel companies have run a well-financed disinformation campaign to deny climate change and obscure the </w:t>
      </w:r>
      <w:proofErr w:type="gramStart"/>
      <w:r w:rsidRPr="003C7D45">
        <w:t>harms</w:t>
      </w:r>
      <w:proofErr w:type="gramEnd"/>
      <w:r w:rsidRPr="003C7D45">
        <w:t xml:space="preserve"> their products cause to our environment and our health. Their enablers? Many of the world’s top</w:t>
      </w:r>
      <w:hyperlink r:id="rId12" w:tgtFrame="_blank" w:history="1">
        <w:r w:rsidRPr="003C7D45">
          <w:rPr>
            <w:rStyle w:val="af0"/>
            <w:b/>
            <w:bCs/>
          </w:rPr>
          <w:t> </w:t>
        </w:r>
        <w:r w:rsidRPr="003C7D45">
          <w:rPr>
            <w:rStyle w:val="af0"/>
          </w:rPr>
          <w:t>public relations (PR) and advertising agencies</w:t>
        </w:r>
      </w:hyperlink>
      <w:r w:rsidRPr="003C7D45">
        <w:t> that once helped “Big Tobacco” deny the dangers of smoking.</w:t>
      </w:r>
    </w:p>
    <w:p w14:paraId="05AAA93C" w14:textId="77777777" w:rsidR="003C7D45" w:rsidRPr="003C7D45" w:rsidRDefault="003C7D45" w:rsidP="003C7D45">
      <w:r w:rsidRPr="003C7D45">
        <w:t> These firms don’t just write ads and press releases. They’re shaping narratives, rebranding fracked methane as “clean” “natural” gas, showcasing oil companies (the world-leading carbon polluters) as climate champions, and deflecting scrutiny from an industry that profits by accelerating climate breakdown and spreading disease.</w:t>
      </w:r>
    </w:p>
    <w:p w14:paraId="7F2B2601" w14:textId="77777777" w:rsidR="003C7D45" w:rsidRPr="003C7D45" w:rsidRDefault="003C7D45" w:rsidP="003C7D45">
      <w:hyperlink r:id="rId13" w:tgtFrame="_blank" w:history="1">
        <w:r w:rsidRPr="003C7D45">
          <w:rPr>
            <w:rStyle w:val="af0"/>
          </w:rPr>
          <w:t>InfluenceMap</w:t>
        </w:r>
      </w:hyperlink>
      <w:r w:rsidRPr="003C7D45">
        <w:t> tells us that fossil fuel companies spend billions annually on marketing and lobbying, largely aimed at weakening climate regulation and conveying a false image of concern for the environment. </w:t>
      </w:r>
    </w:p>
    <w:p w14:paraId="63FA1627" w14:textId="0C447A17" w:rsidR="008457D1" w:rsidRPr="003C7D45" w:rsidRDefault="008457D1" w:rsidP="003C7D45"/>
    <w:sectPr w:rsidR="008457D1" w:rsidRPr="003C7D45" w:rsidSect="00107327">
      <w:footerReference w:type="default" r:id="rId14"/>
      <w:pgSz w:w="11906" w:h="16838"/>
      <w:pgMar w:top="624" w:right="720" w:bottom="624" w:left="720" w:header="283"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ED88" w14:textId="77777777" w:rsidR="000E33D2" w:rsidRDefault="000E33D2" w:rsidP="00D36157">
      <w:r>
        <w:separator/>
      </w:r>
    </w:p>
  </w:endnote>
  <w:endnote w:type="continuationSeparator" w:id="0">
    <w:p w14:paraId="05549F22" w14:textId="77777777" w:rsidR="000E33D2" w:rsidRDefault="000E33D2" w:rsidP="00D3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1E82" w14:textId="72774B32" w:rsidR="00107327" w:rsidRPr="00107327" w:rsidRDefault="00107327" w:rsidP="00107327">
    <w:pPr>
      <w:pStyle w:val="ae"/>
      <w:jc w:val="center"/>
      <w:rPr>
        <w:rFonts w:ascii="標楷體" w:eastAsia="標楷體" w:hAnsi="標楷體"/>
      </w:rPr>
    </w:pPr>
    <w:r w:rsidRPr="00107327">
      <w:rPr>
        <w:rFonts w:ascii="標楷體" w:eastAsia="標楷體" w:hAnsi="標楷體" w:hint="eastAsia"/>
      </w:rPr>
      <w:t>第</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PAGE  \* Arabic  \* MERGEFORMAT</w:instrText>
    </w:r>
    <w:r>
      <w:rPr>
        <w:rFonts w:ascii="標楷體" w:eastAsia="標楷體" w:hAnsi="標楷體"/>
      </w:rPr>
      <w:instrText xml:space="preserve"> </w:instrText>
    </w:r>
    <w:r>
      <w:rPr>
        <w:rFonts w:ascii="標楷體" w:eastAsia="標楷體" w:hAnsi="標楷體"/>
      </w:rPr>
      <w:fldChar w:fldCharType="separate"/>
    </w:r>
    <w:r w:rsidR="00DF118F">
      <w:rPr>
        <w:rFonts w:ascii="標楷體" w:eastAsia="標楷體" w:hAnsi="標楷體"/>
        <w:noProof/>
      </w:rPr>
      <w:t>3</w:t>
    </w:r>
    <w:r>
      <w:rPr>
        <w:rFonts w:ascii="標楷體" w:eastAsia="標楷體" w:hAnsi="標楷體"/>
      </w:rPr>
      <w:fldChar w:fldCharType="end"/>
    </w:r>
    <w:r w:rsidRPr="00107327">
      <w:rPr>
        <w:rFonts w:ascii="標楷體" w:eastAsia="標楷體" w:hAnsi="標楷體" w:hint="eastAsia"/>
      </w:rPr>
      <w:t>頁，共</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NUMPAGES  \* Arabic  \* MERGEFORMAT</w:instrText>
    </w:r>
    <w:r>
      <w:rPr>
        <w:rFonts w:ascii="標楷體" w:eastAsia="標楷體" w:hAnsi="標楷體"/>
      </w:rPr>
      <w:instrText xml:space="preserve"> </w:instrText>
    </w:r>
    <w:r>
      <w:rPr>
        <w:rFonts w:ascii="標楷體" w:eastAsia="標楷體" w:hAnsi="標楷體"/>
      </w:rPr>
      <w:fldChar w:fldCharType="separate"/>
    </w:r>
    <w:r w:rsidR="00DF118F">
      <w:rPr>
        <w:rFonts w:ascii="標楷體" w:eastAsia="標楷體" w:hAnsi="標楷體"/>
        <w:noProof/>
      </w:rPr>
      <w:t>4</w:t>
    </w:r>
    <w:r>
      <w:rPr>
        <w:rFonts w:ascii="標楷體" w:eastAsia="標楷體" w:hAnsi="標楷體"/>
      </w:rPr>
      <w:fldChar w:fldCharType="end"/>
    </w:r>
    <w:r w:rsidRPr="00107327">
      <w:rPr>
        <w:rFonts w:ascii="標楷體" w:eastAsia="標楷體" w:hAnsi="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9437A" w14:textId="77777777" w:rsidR="000E33D2" w:rsidRDefault="000E33D2" w:rsidP="00D36157">
      <w:r>
        <w:separator/>
      </w:r>
    </w:p>
  </w:footnote>
  <w:footnote w:type="continuationSeparator" w:id="0">
    <w:p w14:paraId="2D11383E" w14:textId="77777777" w:rsidR="000E33D2" w:rsidRDefault="000E33D2" w:rsidP="00D3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B09"/>
    <w:multiLevelType w:val="multilevel"/>
    <w:tmpl w:val="CAE8D888"/>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1" w15:restartNumberingAfterBreak="0">
    <w:nsid w:val="09140568"/>
    <w:multiLevelType w:val="hybridMultilevel"/>
    <w:tmpl w:val="0AE2E7B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16B5801"/>
    <w:multiLevelType w:val="multilevel"/>
    <w:tmpl w:val="B502AB08"/>
    <w:lvl w:ilvl="0">
      <w:start w:val="6"/>
      <w:numFmt w:val="taiwaneseCountingThousand"/>
      <w:lvlText w:val="%1、"/>
      <w:lvlJc w:val="left"/>
      <w:pPr>
        <w:ind w:left="480" w:hanging="480"/>
      </w:pPr>
      <w:rPr>
        <w:rFonts w:hint="default"/>
      </w:rPr>
    </w:lvl>
    <w:lvl w:ilvl="1">
      <w:start w:val="1"/>
      <w:numFmt w:val="decimal"/>
      <w:lvlText w:val="%2、"/>
      <w:lvlJc w:val="left"/>
      <w:pPr>
        <w:ind w:left="480" w:hanging="480"/>
      </w:pPr>
      <w:rPr>
        <w:rFonts w:hint="eastAsia"/>
      </w:rPr>
    </w:lvl>
    <w:lvl w:ilvl="2">
      <w:start w:val="1"/>
      <w:numFmt w:val="lowerRoman"/>
      <w:lvlText w:val="%3."/>
      <w:lvlJc w:val="right"/>
      <w:pPr>
        <w:ind w:left="960" w:hanging="480"/>
      </w:pPr>
      <w:rPr>
        <w:rFonts w:hint="eastAsia"/>
      </w:rPr>
    </w:lvl>
    <w:lvl w:ilvl="3">
      <w:start w:val="1"/>
      <w:numFmt w:val="decimal"/>
      <w:lvlText w:val="%4."/>
      <w:lvlJc w:val="left"/>
      <w:pPr>
        <w:ind w:left="1440" w:hanging="480"/>
      </w:pPr>
      <w:rPr>
        <w:rFonts w:hint="eastAsia"/>
      </w:rPr>
    </w:lvl>
    <w:lvl w:ilvl="4">
      <w:start w:val="1"/>
      <w:numFmt w:val="decimal"/>
      <w:lvlText w:val="%5、"/>
      <w:lvlJc w:val="left"/>
      <w:pPr>
        <w:ind w:left="1920" w:hanging="480"/>
      </w:pPr>
      <w:rPr>
        <w:rFonts w:hint="eastAsia"/>
      </w:rPr>
    </w:lvl>
    <w:lvl w:ilvl="5">
      <w:start w:val="1"/>
      <w:numFmt w:val="lowerRoman"/>
      <w:lvlText w:val="%6."/>
      <w:lvlJc w:val="right"/>
      <w:pPr>
        <w:ind w:left="2400" w:hanging="480"/>
      </w:pPr>
      <w:rPr>
        <w:rFonts w:hint="eastAsia"/>
      </w:rPr>
    </w:lvl>
    <w:lvl w:ilvl="6">
      <w:start w:val="1"/>
      <w:numFmt w:val="decimal"/>
      <w:lvlText w:val="%7."/>
      <w:lvlJc w:val="left"/>
      <w:pPr>
        <w:ind w:left="2880" w:hanging="480"/>
      </w:pPr>
      <w:rPr>
        <w:rFonts w:hint="eastAsia"/>
      </w:rPr>
    </w:lvl>
    <w:lvl w:ilvl="7">
      <w:start w:val="1"/>
      <w:numFmt w:val="decimal"/>
      <w:lvlText w:val="%8、"/>
      <w:lvlJc w:val="left"/>
      <w:pPr>
        <w:ind w:left="3360" w:hanging="480"/>
      </w:pPr>
      <w:rPr>
        <w:rFonts w:hint="eastAsia"/>
      </w:rPr>
    </w:lvl>
    <w:lvl w:ilvl="8">
      <w:start w:val="1"/>
      <w:numFmt w:val="lowerRoman"/>
      <w:lvlText w:val="%9."/>
      <w:lvlJc w:val="right"/>
      <w:pPr>
        <w:ind w:left="3840" w:hanging="480"/>
      </w:pPr>
      <w:rPr>
        <w:rFonts w:hint="eastAsia"/>
      </w:rPr>
    </w:lvl>
  </w:abstractNum>
  <w:abstractNum w:abstractNumId="3" w15:restartNumberingAfterBreak="0">
    <w:nsid w:val="19772072"/>
    <w:multiLevelType w:val="multilevel"/>
    <w:tmpl w:val="94701BF8"/>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4" w15:restartNumberingAfterBreak="0">
    <w:nsid w:val="292B030F"/>
    <w:multiLevelType w:val="multilevel"/>
    <w:tmpl w:val="9176E9AE"/>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5" w15:restartNumberingAfterBreak="0">
    <w:nsid w:val="2DBA735E"/>
    <w:multiLevelType w:val="multilevel"/>
    <w:tmpl w:val="37C053E2"/>
    <w:lvl w:ilvl="0">
      <w:start w:val="1"/>
      <w:numFmt w:val="taiwaneseCountingThousand"/>
      <w:lvlText w:val="%1、"/>
      <w:lvlJc w:val="left"/>
      <w:pPr>
        <w:ind w:left="480" w:hanging="480"/>
      </w:pPr>
      <w:rPr>
        <w:sz w:val="24"/>
        <w:szCs w:val="24"/>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55920C0E"/>
    <w:multiLevelType w:val="multilevel"/>
    <w:tmpl w:val="5D5ACF42"/>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7" w15:restartNumberingAfterBreak="0">
    <w:nsid w:val="6DA114ED"/>
    <w:multiLevelType w:val="multilevel"/>
    <w:tmpl w:val="C45CB000"/>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num w:numId="1" w16cid:durableId="126092087">
    <w:abstractNumId w:val="0"/>
  </w:num>
  <w:num w:numId="2" w16cid:durableId="1814834130">
    <w:abstractNumId w:val="2"/>
  </w:num>
  <w:num w:numId="3" w16cid:durableId="269169005">
    <w:abstractNumId w:val="6"/>
  </w:num>
  <w:num w:numId="4" w16cid:durableId="1844972431">
    <w:abstractNumId w:val="7"/>
  </w:num>
  <w:num w:numId="5" w16cid:durableId="1914971754">
    <w:abstractNumId w:val="3"/>
  </w:num>
  <w:num w:numId="6" w16cid:durableId="1209760526">
    <w:abstractNumId w:val="4"/>
  </w:num>
  <w:num w:numId="7" w16cid:durableId="1573657603">
    <w:abstractNumId w:val="5"/>
  </w:num>
  <w:num w:numId="8" w16cid:durableId="555048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6C30"/>
    <w:rsid w:val="00004BC4"/>
    <w:rsid w:val="00032BBA"/>
    <w:rsid w:val="00062346"/>
    <w:rsid w:val="0006541D"/>
    <w:rsid w:val="000660B2"/>
    <w:rsid w:val="000950C9"/>
    <w:rsid w:val="000A3887"/>
    <w:rsid w:val="000B3869"/>
    <w:rsid w:val="000D31B5"/>
    <w:rsid w:val="000D6FB3"/>
    <w:rsid w:val="000E33D2"/>
    <w:rsid w:val="000E75DE"/>
    <w:rsid w:val="000F07CE"/>
    <w:rsid w:val="000F1760"/>
    <w:rsid w:val="00107327"/>
    <w:rsid w:val="001173B5"/>
    <w:rsid w:val="0014625D"/>
    <w:rsid w:val="00153ED8"/>
    <w:rsid w:val="00171319"/>
    <w:rsid w:val="00183F5C"/>
    <w:rsid w:val="001852FF"/>
    <w:rsid w:val="0019060B"/>
    <w:rsid w:val="00193729"/>
    <w:rsid w:val="001A17B2"/>
    <w:rsid w:val="001C6424"/>
    <w:rsid w:val="00210F05"/>
    <w:rsid w:val="00214464"/>
    <w:rsid w:val="00242B47"/>
    <w:rsid w:val="0027247D"/>
    <w:rsid w:val="002F7B9B"/>
    <w:rsid w:val="0032329F"/>
    <w:rsid w:val="00323FFE"/>
    <w:rsid w:val="00347D46"/>
    <w:rsid w:val="003505A0"/>
    <w:rsid w:val="00352314"/>
    <w:rsid w:val="0038709B"/>
    <w:rsid w:val="003908D5"/>
    <w:rsid w:val="003C36CD"/>
    <w:rsid w:val="003C63D2"/>
    <w:rsid w:val="003C7D45"/>
    <w:rsid w:val="003F31BF"/>
    <w:rsid w:val="0041537D"/>
    <w:rsid w:val="0044755B"/>
    <w:rsid w:val="0044755C"/>
    <w:rsid w:val="004612B8"/>
    <w:rsid w:val="004670CC"/>
    <w:rsid w:val="00486597"/>
    <w:rsid w:val="004A611A"/>
    <w:rsid w:val="004C11AA"/>
    <w:rsid w:val="004D4729"/>
    <w:rsid w:val="0051572B"/>
    <w:rsid w:val="00524CF5"/>
    <w:rsid w:val="0055370E"/>
    <w:rsid w:val="00574B00"/>
    <w:rsid w:val="005752BE"/>
    <w:rsid w:val="00593EEA"/>
    <w:rsid w:val="00594E65"/>
    <w:rsid w:val="005D3DCB"/>
    <w:rsid w:val="00610E8D"/>
    <w:rsid w:val="00622A87"/>
    <w:rsid w:val="0062530B"/>
    <w:rsid w:val="00657787"/>
    <w:rsid w:val="006712EA"/>
    <w:rsid w:val="006A4A8F"/>
    <w:rsid w:val="006D0D89"/>
    <w:rsid w:val="006E78F9"/>
    <w:rsid w:val="006F568D"/>
    <w:rsid w:val="00720119"/>
    <w:rsid w:val="00772921"/>
    <w:rsid w:val="00776C8D"/>
    <w:rsid w:val="00777D4C"/>
    <w:rsid w:val="00781BC9"/>
    <w:rsid w:val="007B42EF"/>
    <w:rsid w:val="007C032F"/>
    <w:rsid w:val="007C5A5A"/>
    <w:rsid w:val="007E61BD"/>
    <w:rsid w:val="007F6D7D"/>
    <w:rsid w:val="00803BDD"/>
    <w:rsid w:val="008371FF"/>
    <w:rsid w:val="008457D1"/>
    <w:rsid w:val="0084682D"/>
    <w:rsid w:val="008876D9"/>
    <w:rsid w:val="008970A0"/>
    <w:rsid w:val="008A53E4"/>
    <w:rsid w:val="008E29F0"/>
    <w:rsid w:val="008F0DD1"/>
    <w:rsid w:val="00915A8B"/>
    <w:rsid w:val="0092587E"/>
    <w:rsid w:val="00965878"/>
    <w:rsid w:val="009747C8"/>
    <w:rsid w:val="00995693"/>
    <w:rsid w:val="009C453F"/>
    <w:rsid w:val="009C679A"/>
    <w:rsid w:val="009C7F83"/>
    <w:rsid w:val="00A67CF1"/>
    <w:rsid w:val="00AB3F4B"/>
    <w:rsid w:val="00AF71F5"/>
    <w:rsid w:val="00B0119D"/>
    <w:rsid w:val="00B1512B"/>
    <w:rsid w:val="00B250D1"/>
    <w:rsid w:val="00B31387"/>
    <w:rsid w:val="00B84AFA"/>
    <w:rsid w:val="00B92A5C"/>
    <w:rsid w:val="00B9613F"/>
    <w:rsid w:val="00BC17CD"/>
    <w:rsid w:val="00BD5CBA"/>
    <w:rsid w:val="00BE2217"/>
    <w:rsid w:val="00C06D57"/>
    <w:rsid w:val="00C14DC6"/>
    <w:rsid w:val="00C52173"/>
    <w:rsid w:val="00C53236"/>
    <w:rsid w:val="00C85FA0"/>
    <w:rsid w:val="00CB07FB"/>
    <w:rsid w:val="00CF7FE1"/>
    <w:rsid w:val="00D0209F"/>
    <w:rsid w:val="00D14840"/>
    <w:rsid w:val="00D21D56"/>
    <w:rsid w:val="00D36157"/>
    <w:rsid w:val="00D40246"/>
    <w:rsid w:val="00D55536"/>
    <w:rsid w:val="00D7578F"/>
    <w:rsid w:val="00D93D62"/>
    <w:rsid w:val="00D94A0B"/>
    <w:rsid w:val="00D964E0"/>
    <w:rsid w:val="00DA2882"/>
    <w:rsid w:val="00DA6A15"/>
    <w:rsid w:val="00DD530E"/>
    <w:rsid w:val="00DF118F"/>
    <w:rsid w:val="00DF3BB0"/>
    <w:rsid w:val="00E11B68"/>
    <w:rsid w:val="00E12E17"/>
    <w:rsid w:val="00E15652"/>
    <w:rsid w:val="00E35960"/>
    <w:rsid w:val="00E824D7"/>
    <w:rsid w:val="00E87C1C"/>
    <w:rsid w:val="00E926AA"/>
    <w:rsid w:val="00E9589D"/>
    <w:rsid w:val="00E96C30"/>
    <w:rsid w:val="00EA1F46"/>
    <w:rsid w:val="00EA5FB4"/>
    <w:rsid w:val="00EE527B"/>
    <w:rsid w:val="00F01140"/>
    <w:rsid w:val="00F05C2A"/>
    <w:rsid w:val="00F248E8"/>
    <w:rsid w:val="00FD6DEB"/>
    <w:rsid w:val="00FE3278"/>
    <w:rsid w:val="00FF06C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9AF7F"/>
  <w15:docId w15:val="{65D5AE9E-DF03-4852-96B3-2C02F9FC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4"/>
        <w:szCs w:val="24"/>
        <w:lang w:val="en-US" w:eastAsia="zh-TW"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C30"/>
  </w:style>
  <w:style w:type="paragraph" w:styleId="1">
    <w:name w:val="heading 1"/>
    <w:basedOn w:val="10"/>
    <w:next w:val="10"/>
    <w:rsid w:val="00E96C30"/>
    <w:pPr>
      <w:keepNext/>
      <w:keepLines/>
      <w:spacing w:before="480" w:after="120"/>
      <w:outlineLvl w:val="0"/>
    </w:pPr>
    <w:rPr>
      <w:b/>
      <w:sz w:val="48"/>
      <w:szCs w:val="48"/>
    </w:rPr>
  </w:style>
  <w:style w:type="paragraph" w:styleId="2">
    <w:name w:val="heading 2"/>
    <w:basedOn w:val="10"/>
    <w:next w:val="10"/>
    <w:rsid w:val="00E96C30"/>
    <w:pPr>
      <w:keepNext/>
      <w:keepLines/>
      <w:spacing w:before="360" w:after="80"/>
      <w:outlineLvl w:val="1"/>
    </w:pPr>
    <w:rPr>
      <w:b/>
      <w:sz w:val="36"/>
      <w:szCs w:val="36"/>
    </w:rPr>
  </w:style>
  <w:style w:type="paragraph" w:styleId="3">
    <w:name w:val="heading 3"/>
    <w:basedOn w:val="10"/>
    <w:next w:val="10"/>
    <w:rsid w:val="00E96C30"/>
    <w:pPr>
      <w:keepNext/>
      <w:keepLines/>
      <w:spacing w:before="280" w:after="80"/>
      <w:outlineLvl w:val="2"/>
    </w:pPr>
    <w:rPr>
      <w:b/>
      <w:sz w:val="28"/>
      <w:szCs w:val="28"/>
    </w:rPr>
  </w:style>
  <w:style w:type="paragraph" w:styleId="4">
    <w:name w:val="heading 4"/>
    <w:basedOn w:val="10"/>
    <w:next w:val="10"/>
    <w:rsid w:val="00E96C30"/>
    <w:pPr>
      <w:keepNext/>
      <w:keepLines/>
      <w:spacing w:before="240" w:after="40"/>
      <w:outlineLvl w:val="3"/>
    </w:pPr>
    <w:rPr>
      <w:b/>
    </w:rPr>
  </w:style>
  <w:style w:type="paragraph" w:styleId="5">
    <w:name w:val="heading 5"/>
    <w:basedOn w:val="10"/>
    <w:next w:val="10"/>
    <w:rsid w:val="00E96C30"/>
    <w:pPr>
      <w:keepNext/>
      <w:keepLines/>
      <w:spacing w:before="220" w:after="40"/>
      <w:outlineLvl w:val="4"/>
    </w:pPr>
    <w:rPr>
      <w:b/>
      <w:sz w:val="22"/>
      <w:szCs w:val="22"/>
    </w:rPr>
  </w:style>
  <w:style w:type="paragraph" w:styleId="6">
    <w:name w:val="heading 6"/>
    <w:basedOn w:val="10"/>
    <w:next w:val="10"/>
    <w:rsid w:val="00E96C30"/>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內文1"/>
    <w:rsid w:val="00E96C30"/>
  </w:style>
  <w:style w:type="table" w:customStyle="1" w:styleId="TableNormal">
    <w:name w:val="Table Normal"/>
    <w:rsid w:val="00E96C30"/>
    <w:tblPr>
      <w:tblCellMar>
        <w:top w:w="0" w:type="dxa"/>
        <w:left w:w="0" w:type="dxa"/>
        <w:bottom w:w="0" w:type="dxa"/>
        <w:right w:w="0" w:type="dxa"/>
      </w:tblCellMar>
    </w:tblPr>
  </w:style>
  <w:style w:type="paragraph" w:styleId="a3">
    <w:name w:val="Title"/>
    <w:basedOn w:val="10"/>
    <w:next w:val="10"/>
    <w:rsid w:val="00E96C30"/>
    <w:pPr>
      <w:keepNext/>
      <w:keepLines/>
      <w:spacing w:before="480" w:after="120"/>
    </w:pPr>
    <w:rPr>
      <w:b/>
      <w:sz w:val="72"/>
      <w:szCs w:val="72"/>
    </w:rPr>
  </w:style>
  <w:style w:type="paragraph" w:styleId="a4">
    <w:name w:val="List Paragraph"/>
    <w:basedOn w:val="a"/>
    <w:uiPriority w:val="34"/>
    <w:qFormat/>
    <w:rsid w:val="00AF7502"/>
    <w:pPr>
      <w:ind w:leftChars="200" w:left="480"/>
    </w:pPr>
  </w:style>
  <w:style w:type="paragraph" w:customStyle="1" w:styleId="Default">
    <w:name w:val="Default"/>
    <w:rsid w:val="00AF7502"/>
    <w:pPr>
      <w:autoSpaceDE w:val="0"/>
      <w:autoSpaceDN w:val="0"/>
      <w:adjustRightInd w:val="0"/>
    </w:pPr>
    <w:rPr>
      <w:rFonts w:ascii="標楷體" w:eastAsia="標楷體" w:cs="標楷體"/>
    </w:rPr>
  </w:style>
  <w:style w:type="table" w:styleId="a5">
    <w:name w:val="Table Grid"/>
    <w:basedOn w:val="a1"/>
    <w:uiPriority w:val="39"/>
    <w:rsid w:val="00350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te Heading"/>
    <w:basedOn w:val="a"/>
    <w:next w:val="a"/>
    <w:link w:val="a7"/>
    <w:uiPriority w:val="99"/>
    <w:unhideWhenUsed/>
    <w:rsid w:val="00B9566D"/>
    <w:pPr>
      <w:jc w:val="center"/>
    </w:pPr>
    <w:rPr>
      <w:rFonts w:ascii="標楷體" w:eastAsia="標楷體" w:hAnsi="標楷體"/>
    </w:rPr>
  </w:style>
  <w:style w:type="character" w:customStyle="1" w:styleId="a7">
    <w:name w:val="註釋標題 字元"/>
    <w:basedOn w:val="a0"/>
    <w:link w:val="a6"/>
    <w:uiPriority w:val="99"/>
    <w:rsid w:val="00B9566D"/>
    <w:rPr>
      <w:rFonts w:ascii="標楷體" w:eastAsia="標楷體" w:hAnsi="標楷體"/>
    </w:rPr>
  </w:style>
  <w:style w:type="paragraph" w:styleId="a8">
    <w:name w:val="Closing"/>
    <w:basedOn w:val="a"/>
    <w:link w:val="a9"/>
    <w:uiPriority w:val="99"/>
    <w:unhideWhenUsed/>
    <w:rsid w:val="00B9566D"/>
    <w:pPr>
      <w:ind w:leftChars="1800" w:left="100"/>
    </w:pPr>
    <w:rPr>
      <w:rFonts w:ascii="標楷體" w:eastAsia="標楷體" w:hAnsi="標楷體"/>
    </w:rPr>
  </w:style>
  <w:style w:type="character" w:customStyle="1" w:styleId="a9">
    <w:name w:val="結語 字元"/>
    <w:basedOn w:val="a0"/>
    <w:link w:val="a8"/>
    <w:uiPriority w:val="99"/>
    <w:rsid w:val="00B9566D"/>
    <w:rPr>
      <w:rFonts w:ascii="標楷體" w:eastAsia="標楷體" w:hAnsi="標楷體"/>
    </w:rPr>
  </w:style>
  <w:style w:type="paragraph" w:styleId="aa">
    <w:name w:val="Subtitle"/>
    <w:basedOn w:val="10"/>
    <w:next w:val="10"/>
    <w:rsid w:val="00E96C30"/>
    <w:pPr>
      <w:keepNext/>
      <w:keepLines/>
      <w:spacing w:before="360" w:after="80"/>
    </w:pPr>
    <w:rPr>
      <w:rFonts w:ascii="Georgia" w:eastAsia="Georgia" w:hAnsi="Georgia" w:cs="Georgia"/>
      <w:i/>
      <w:color w:val="666666"/>
      <w:sz w:val="48"/>
      <w:szCs w:val="48"/>
    </w:rPr>
  </w:style>
  <w:style w:type="table" w:customStyle="1" w:styleId="ab">
    <w:basedOn w:val="TableNormal"/>
    <w:rsid w:val="00E96C30"/>
    <w:tblPr>
      <w:tblStyleRowBandSize w:val="1"/>
      <w:tblStyleColBandSize w:val="1"/>
      <w:tblCellMar>
        <w:left w:w="108" w:type="dxa"/>
        <w:right w:w="108" w:type="dxa"/>
      </w:tblCellMar>
    </w:tblPr>
  </w:style>
  <w:style w:type="paragraph" w:styleId="ac">
    <w:name w:val="header"/>
    <w:basedOn w:val="a"/>
    <w:link w:val="ad"/>
    <w:uiPriority w:val="99"/>
    <w:unhideWhenUsed/>
    <w:rsid w:val="00D36157"/>
    <w:pPr>
      <w:tabs>
        <w:tab w:val="center" w:pos="4153"/>
        <w:tab w:val="right" w:pos="8306"/>
      </w:tabs>
      <w:snapToGrid w:val="0"/>
    </w:pPr>
    <w:rPr>
      <w:sz w:val="20"/>
      <w:szCs w:val="20"/>
    </w:rPr>
  </w:style>
  <w:style w:type="character" w:customStyle="1" w:styleId="ad">
    <w:name w:val="頁首 字元"/>
    <w:basedOn w:val="a0"/>
    <w:link w:val="ac"/>
    <w:uiPriority w:val="99"/>
    <w:rsid w:val="00D36157"/>
    <w:rPr>
      <w:sz w:val="20"/>
      <w:szCs w:val="20"/>
    </w:rPr>
  </w:style>
  <w:style w:type="paragraph" w:styleId="ae">
    <w:name w:val="footer"/>
    <w:basedOn w:val="a"/>
    <w:link w:val="af"/>
    <w:uiPriority w:val="99"/>
    <w:unhideWhenUsed/>
    <w:rsid w:val="00D36157"/>
    <w:pPr>
      <w:tabs>
        <w:tab w:val="center" w:pos="4153"/>
        <w:tab w:val="right" w:pos="8306"/>
      </w:tabs>
      <w:snapToGrid w:val="0"/>
    </w:pPr>
    <w:rPr>
      <w:sz w:val="20"/>
      <w:szCs w:val="20"/>
    </w:rPr>
  </w:style>
  <w:style w:type="character" w:customStyle="1" w:styleId="af">
    <w:name w:val="頁尾 字元"/>
    <w:basedOn w:val="a0"/>
    <w:link w:val="ae"/>
    <w:uiPriority w:val="99"/>
    <w:rsid w:val="00D36157"/>
    <w:rPr>
      <w:sz w:val="20"/>
      <w:szCs w:val="20"/>
    </w:rPr>
  </w:style>
  <w:style w:type="paragraph" w:styleId="Web">
    <w:name w:val="Normal (Web)"/>
    <w:basedOn w:val="a"/>
    <w:uiPriority w:val="99"/>
    <w:unhideWhenUsed/>
    <w:rsid w:val="004612B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ascii="新細明體" w:eastAsia="新細明體" w:hAnsi="新細明體" w:cs="新細明體"/>
      <w:color w:val="auto"/>
    </w:rPr>
  </w:style>
  <w:style w:type="character" w:styleId="af0">
    <w:name w:val="Hyperlink"/>
    <w:basedOn w:val="a0"/>
    <w:uiPriority w:val="99"/>
    <w:unhideWhenUsed/>
    <w:rsid w:val="003C7D45"/>
    <w:rPr>
      <w:color w:val="0563C1" w:themeColor="hyperlink"/>
      <w:u w:val="single"/>
    </w:rPr>
  </w:style>
  <w:style w:type="character" w:styleId="af1">
    <w:name w:val="Unresolved Mention"/>
    <w:basedOn w:val="a0"/>
    <w:uiPriority w:val="99"/>
    <w:semiHidden/>
    <w:unhideWhenUsed/>
    <w:rsid w:val="003C7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19480">
      <w:bodyDiv w:val="1"/>
      <w:marLeft w:val="0"/>
      <w:marRight w:val="0"/>
      <w:marTop w:val="0"/>
      <w:marBottom w:val="0"/>
      <w:divBdr>
        <w:top w:val="none" w:sz="0" w:space="0" w:color="auto"/>
        <w:left w:val="none" w:sz="0" w:space="0" w:color="auto"/>
        <w:bottom w:val="none" w:sz="0" w:space="0" w:color="auto"/>
        <w:right w:val="none" w:sz="0" w:space="0" w:color="auto"/>
      </w:divBdr>
    </w:div>
    <w:div w:id="1307197167">
      <w:bodyDiv w:val="1"/>
      <w:marLeft w:val="0"/>
      <w:marRight w:val="0"/>
      <w:marTop w:val="0"/>
      <w:marBottom w:val="0"/>
      <w:divBdr>
        <w:top w:val="none" w:sz="0" w:space="0" w:color="auto"/>
        <w:left w:val="none" w:sz="0" w:space="0" w:color="auto"/>
        <w:bottom w:val="none" w:sz="0" w:space="0" w:color="auto"/>
        <w:right w:val="none" w:sz="0" w:space="0" w:color="auto"/>
      </w:divBdr>
    </w:div>
    <w:div w:id="1466116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events/detail/2025/07/29/default-calendar/2025-global-conference-on-climate-and-health" TargetMode="External"/><Relationship Id="rId13" Type="http://schemas.openxmlformats.org/officeDocument/2006/relationships/hyperlink" Target="https://influencemap.org/report/How-Big-Oil-Continues-to-Oppose-the-Paris-Agreement-38212275958aa21196dae3b76220bdd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icochet.media/media/media-3/the-propaganda-playbook-how-the-pr-industry-shifted-from-tobacco-to-fossil-fue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althpolicy-watch.news/states-have-a-duty-to-prevent-significant-harm-from-climate-change-icj-rules-in-landmark-verdi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nfccc.int/cop30" TargetMode="External"/><Relationship Id="rId4" Type="http://schemas.openxmlformats.org/officeDocument/2006/relationships/settings" Target="settings.xml"/><Relationship Id="rId9" Type="http://schemas.openxmlformats.org/officeDocument/2006/relationships/hyperlink" Target="https://www.desmog.com/2024/05/13/edelman-and-shell-renew-their-global-pr-deal/" TargetMode="External"/><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FFE86-FBAA-4AB9-A429-38C2BB9D3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2280</Characters>
  <Application>Microsoft Office Word</Application>
  <DocSecurity>0</DocSecurity>
  <Lines>19</Lines>
  <Paragraphs>5</Paragraphs>
  <ScaleCrop>false</ScaleCrop>
  <Company>Microsoft</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LTM</dc:creator>
  <cp:lastModifiedBy>劉 律奇</cp:lastModifiedBy>
  <cp:revision>4</cp:revision>
  <cp:lastPrinted>2022-03-14T07:07:00Z</cp:lastPrinted>
  <dcterms:created xsi:type="dcterms:W3CDTF">2022-09-14T05:12:00Z</dcterms:created>
  <dcterms:modified xsi:type="dcterms:W3CDTF">2025-08-01T03:33:00Z</dcterms:modified>
</cp:coreProperties>
</file>