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F6F" w:rsidRDefault="008B6F6F"/>
    <w:p w:rsidR="008E6400" w:rsidRDefault="006401FF" w:rsidP="008B6F6F">
      <w:pPr>
        <w:pStyle w:val="1"/>
        <w:jc w:val="center"/>
      </w:pPr>
      <w:r>
        <w:rPr>
          <w:rFonts w:hint="eastAsia"/>
        </w:rPr>
        <w:t>第八</w:t>
      </w:r>
      <w:r w:rsidR="008B6F6F">
        <w:rPr>
          <w:rFonts w:hint="eastAsia"/>
        </w:rPr>
        <w:t>小组作业分析</w:t>
      </w:r>
    </w:p>
    <w:p w:rsidR="006401FF" w:rsidRPr="00B176E5" w:rsidRDefault="006401FF" w:rsidP="006401FF">
      <w:pPr>
        <w:rPr>
          <w:sz w:val="28"/>
          <w:szCs w:val="28"/>
        </w:rPr>
      </w:pPr>
      <w:r w:rsidRPr="00B176E5">
        <w:rPr>
          <w:sz w:val="28"/>
          <w:szCs w:val="28"/>
        </w:rPr>
        <w:t>所选行业：核电</w:t>
      </w:r>
    </w:p>
    <w:p w:rsidR="006401FF" w:rsidRPr="00B176E5" w:rsidRDefault="006401FF" w:rsidP="006401FF">
      <w:pPr>
        <w:rPr>
          <w:sz w:val="28"/>
          <w:szCs w:val="28"/>
        </w:rPr>
      </w:pPr>
      <w:r w:rsidRPr="00B176E5">
        <w:rPr>
          <w:sz w:val="28"/>
          <w:szCs w:val="28"/>
        </w:rPr>
        <w:t>选用股票号：</w:t>
      </w:r>
      <w:r w:rsidRPr="00B176E5">
        <w:rPr>
          <w:sz w:val="28"/>
          <w:szCs w:val="28"/>
        </w:rPr>
        <w:t>600089 600202 600226 600269</w:t>
      </w:r>
    </w:p>
    <w:p w:rsidR="00F420E7" w:rsidRPr="00B176E5" w:rsidRDefault="00F420E7" w:rsidP="006401FF">
      <w:pPr>
        <w:rPr>
          <w:rFonts w:ascii="Helvetica" w:hAnsi="Helvetica" w:cs="Helvetica"/>
          <w:color w:val="000000"/>
          <w:sz w:val="28"/>
          <w:szCs w:val="28"/>
        </w:rPr>
      </w:pPr>
      <w:r w:rsidRPr="00B176E5">
        <w:rPr>
          <w:sz w:val="28"/>
          <w:szCs w:val="28"/>
        </w:rPr>
        <w:t>小组成员：</w:t>
      </w:r>
      <w:proofErr w:type="gramStart"/>
      <w:r w:rsidRPr="00B176E5">
        <w:rPr>
          <w:rFonts w:ascii="Helvetica" w:hAnsi="Helvetica" w:cs="Helvetica"/>
          <w:color w:val="000000"/>
          <w:sz w:val="28"/>
          <w:szCs w:val="28"/>
        </w:rPr>
        <w:t>李岱遥</w:t>
      </w:r>
      <w:proofErr w:type="gramEnd"/>
      <w:r w:rsidRPr="00B176E5">
        <w:rPr>
          <w:rFonts w:ascii="Helvetica" w:hAnsi="Helvetica" w:cs="Helvetica"/>
          <w:color w:val="000000"/>
          <w:sz w:val="28"/>
          <w:szCs w:val="28"/>
        </w:rPr>
        <w:t>、夏英凡、</w:t>
      </w:r>
      <w:proofErr w:type="gramStart"/>
      <w:r w:rsidRPr="00B176E5">
        <w:rPr>
          <w:rFonts w:ascii="Helvetica" w:hAnsi="Helvetica" w:cs="Helvetica"/>
          <w:color w:val="000000"/>
          <w:sz w:val="28"/>
          <w:szCs w:val="28"/>
        </w:rPr>
        <w:t>邱</w:t>
      </w:r>
      <w:proofErr w:type="gramEnd"/>
      <w:r w:rsidRPr="00B176E5">
        <w:rPr>
          <w:rFonts w:ascii="Helvetica" w:hAnsi="Helvetica" w:cs="Helvetica"/>
          <w:color w:val="000000"/>
          <w:sz w:val="28"/>
          <w:szCs w:val="28"/>
        </w:rPr>
        <w:t>子源、张翥</w:t>
      </w:r>
    </w:p>
    <w:p w:rsidR="00F420E7" w:rsidRPr="00B176E5" w:rsidRDefault="00F420E7" w:rsidP="006401FF">
      <w:pPr>
        <w:rPr>
          <w:rFonts w:ascii="Helvetica" w:hAnsi="Helvetica" w:cs="Helvetica"/>
          <w:color w:val="000000"/>
          <w:sz w:val="28"/>
          <w:szCs w:val="28"/>
        </w:rPr>
      </w:pPr>
      <w:r w:rsidRPr="00B176E5">
        <w:rPr>
          <w:rFonts w:ascii="Helvetica" w:hAnsi="Helvetica" w:cs="Helvetica"/>
          <w:color w:val="000000"/>
          <w:sz w:val="28"/>
          <w:szCs w:val="28"/>
        </w:rPr>
        <w:t>成员分工：每次小组作业均由</w:t>
      </w:r>
      <w:r w:rsidRPr="00B176E5">
        <w:rPr>
          <w:rFonts w:ascii="Helvetica" w:hAnsi="Helvetica" w:cs="Helvetica"/>
          <w:color w:val="000000"/>
          <w:sz w:val="28"/>
          <w:szCs w:val="28"/>
        </w:rPr>
        <w:t>4</w:t>
      </w:r>
      <w:r w:rsidRPr="00B176E5">
        <w:rPr>
          <w:rFonts w:ascii="Helvetica" w:hAnsi="Helvetica" w:cs="Helvetica"/>
          <w:color w:val="000000"/>
          <w:sz w:val="28"/>
          <w:szCs w:val="28"/>
        </w:rPr>
        <w:t>人合作共同完成，没有细致分工</w:t>
      </w:r>
    </w:p>
    <w:p w:rsidR="00F420E7" w:rsidRPr="00B176E5" w:rsidRDefault="00F420E7" w:rsidP="006401FF">
      <w:pPr>
        <w:rPr>
          <w:sz w:val="28"/>
          <w:szCs w:val="28"/>
        </w:rPr>
      </w:pPr>
    </w:p>
    <w:p w:rsidR="00F420E7" w:rsidRPr="00B176E5" w:rsidRDefault="00F420E7" w:rsidP="006401FF">
      <w:pPr>
        <w:rPr>
          <w:sz w:val="28"/>
          <w:szCs w:val="28"/>
        </w:rPr>
      </w:pPr>
      <w:r w:rsidRPr="00B176E5">
        <w:rPr>
          <w:sz w:val="28"/>
          <w:szCs w:val="28"/>
        </w:rPr>
        <w:t>下面是对分组作业结果的简单分析：</w:t>
      </w:r>
    </w:p>
    <w:p w:rsidR="00F420E7" w:rsidRPr="00B176E5" w:rsidRDefault="00F420E7" w:rsidP="00F420E7">
      <w:pPr>
        <w:rPr>
          <w:rFonts w:ascii="Helvetica" w:hAnsi="Helvetica" w:cs="Helvetica"/>
          <w:color w:val="000000"/>
          <w:sz w:val="28"/>
          <w:szCs w:val="28"/>
        </w:rPr>
      </w:pPr>
      <w:r w:rsidRPr="00B176E5">
        <w:rPr>
          <w:sz w:val="28"/>
          <w:szCs w:val="28"/>
        </w:rPr>
        <w:tab/>
      </w:r>
      <w:r w:rsidR="008B33F3" w:rsidRPr="00B176E5">
        <w:rPr>
          <w:sz w:val="28"/>
          <w:szCs w:val="28"/>
        </w:rPr>
        <w:t>1.</w:t>
      </w:r>
      <w:r w:rsidRPr="00B176E5">
        <w:rPr>
          <w:sz w:val="28"/>
          <w:szCs w:val="28"/>
        </w:rPr>
        <w:t>在日线数据</w:t>
      </w:r>
      <w:r w:rsidRPr="00B176E5">
        <w:rPr>
          <w:rFonts w:ascii="Helvetica" w:hAnsi="Helvetica" w:cs="Helvetica"/>
          <w:color w:val="000000"/>
          <w:sz w:val="28"/>
          <w:szCs w:val="28"/>
        </w:rPr>
        <w:t>、</w:t>
      </w:r>
      <w:r w:rsidRPr="00B176E5">
        <w:rPr>
          <w:rFonts w:ascii="Helvetica" w:hAnsi="Helvetica" w:cs="Helvetica" w:hint="eastAsia"/>
          <w:color w:val="000000"/>
          <w:sz w:val="28"/>
          <w:szCs w:val="28"/>
        </w:rPr>
        <w:t>高频数据</w:t>
      </w:r>
      <w:r w:rsidRPr="00B176E5">
        <w:rPr>
          <w:rFonts w:ascii="Helvetica" w:hAnsi="Helvetica" w:cs="Helvetica"/>
          <w:color w:val="000000"/>
          <w:sz w:val="28"/>
          <w:szCs w:val="28"/>
        </w:rPr>
        <w:t>、财务数据</w:t>
      </w:r>
      <w:r w:rsidRPr="00B176E5">
        <w:rPr>
          <w:sz w:val="28"/>
          <w:szCs w:val="28"/>
        </w:rPr>
        <w:t>下载</w:t>
      </w:r>
      <w:r w:rsidRPr="00B176E5">
        <w:rPr>
          <w:rFonts w:ascii="Helvetica" w:hAnsi="Helvetica" w:cs="Helvetica"/>
          <w:color w:val="000000"/>
          <w:sz w:val="28"/>
          <w:szCs w:val="28"/>
        </w:rPr>
        <w:t>时，由于财务数据存储的命名问题和高频数据</w:t>
      </w:r>
      <w:proofErr w:type="spellStart"/>
      <w:r w:rsidRPr="00B176E5">
        <w:rPr>
          <w:rFonts w:ascii="Helvetica" w:hAnsi="Helvetica" w:cs="Helvetica"/>
          <w:color w:val="000000"/>
          <w:sz w:val="28"/>
          <w:szCs w:val="28"/>
        </w:rPr>
        <w:t>ip</w:t>
      </w:r>
      <w:proofErr w:type="spellEnd"/>
      <w:r w:rsidRPr="00B176E5">
        <w:rPr>
          <w:rFonts w:ascii="Helvetica" w:hAnsi="Helvetica" w:cs="Helvetica"/>
          <w:color w:val="000000"/>
          <w:sz w:val="28"/>
          <w:szCs w:val="28"/>
        </w:rPr>
        <w:t>地址与日</w:t>
      </w:r>
      <w:proofErr w:type="gramStart"/>
      <w:r w:rsidRPr="00B176E5">
        <w:rPr>
          <w:rFonts w:ascii="Helvetica" w:hAnsi="Helvetica" w:cs="Helvetica"/>
          <w:color w:val="000000"/>
          <w:sz w:val="28"/>
          <w:szCs w:val="28"/>
        </w:rPr>
        <w:t>线数据</w:t>
      </w:r>
      <w:proofErr w:type="spellStart"/>
      <w:proofErr w:type="gramEnd"/>
      <w:r w:rsidRPr="00B176E5">
        <w:rPr>
          <w:rFonts w:ascii="Helvetica" w:hAnsi="Helvetica" w:cs="Helvetica"/>
          <w:color w:val="000000"/>
          <w:sz w:val="28"/>
          <w:szCs w:val="28"/>
        </w:rPr>
        <w:t>ip</w:t>
      </w:r>
      <w:proofErr w:type="spellEnd"/>
      <w:r w:rsidRPr="00B176E5">
        <w:rPr>
          <w:rFonts w:ascii="Helvetica" w:hAnsi="Helvetica" w:cs="Helvetica"/>
          <w:color w:val="000000"/>
          <w:sz w:val="28"/>
          <w:szCs w:val="28"/>
        </w:rPr>
        <w:t>地址结构不同</w:t>
      </w:r>
      <w:r w:rsidR="00B176E5">
        <w:rPr>
          <w:rFonts w:ascii="Helvetica" w:hAnsi="Helvetica" w:cs="Helvetica" w:hint="eastAsia"/>
          <w:color w:val="000000"/>
          <w:sz w:val="28"/>
          <w:szCs w:val="28"/>
        </w:rPr>
        <w:t>（高频</w:t>
      </w:r>
      <w:proofErr w:type="spellStart"/>
      <w:r w:rsidR="00B176E5">
        <w:rPr>
          <w:rFonts w:ascii="Helvetica" w:hAnsi="Helvetica" w:cs="Helvetica" w:hint="eastAsia"/>
          <w:color w:val="000000"/>
          <w:sz w:val="28"/>
          <w:szCs w:val="28"/>
        </w:rPr>
        <w:t>ip</w:t>
      </w:r>
      <w:proofErr w:type="spellEnd"/>
      <w:r w:rsidR="00B176E5">
        <w:rPr>
          <w:rFonts w:ascii="Helvetica" w:hAnsi="Helvetica" w:cs="Helvetica" w:hint="eastAsia"/>
          <w:color w:val="000000"/>
          <w:sz w:val="28"/>
          <w:szCs w:val="28"/>
        </w:rPr>
        <w:t>带有字母）</w:t>
      </w:r>
      <w:r w:rsidRPr="00B176E5">
        <w:rPr>
          <w:rFonts w:ascii="Helvetica" w:hAnsi="Helvetica" w:cs="Helvetica"/>
          <w:color w:val="000000"/>
          <w:sz w:val="28"/>
          <w:szCs w:val="28"/>
        </w:rPr>
        <w:t>，所以需要对讲义上的函数稍作修改。</w:t>
      </w:r>
    </w:p>
    <w:p w:rsidR="00BF6C33" w:rsidRDefault="008B33F3" w:rsidP="008B33F3">
      <w:pPr>
        <w:ind w:firstLine="360"/>
        <w:rPr>
          <w:sz w:val="28"/>
          <w:szCs w:val="28"/>
        </w:rPr>
      </w:pPr>
      <w:r w:rsidRPr="00B176E5">
        <w:rPr>
          <w:sz w:val="28"/>
          <w:szCs w:val="28"/>
        </w:rPr>
        <w:t>2.</w:t>
      </w:r>
      <w:r w:rsidR="006401FF" w:rsidRPr="00B176E5">
        <w:rPr>
          <w:sz w:val="28"/>
          <w:szCs w:val="28"/>
        </w:rPr>
        <w:t>从每只股票的月收益率的直方图和</w:t>
      </w:r>
      <w:r w:rsidR="006401FF" w:rsidRPr="00B176E5">
        <w:rPr>
          <w:sz w:val="28"/>
          <w:szCs w:val="28"/>
        </w:rPr>
        <w:t>QQ</w:t>
      </w:r>
      <w:r w:rsidR="006401FF" w:rsidRPr="00B176E5">
        <w:rPr>
          <w:sz w:val="28"/>
          <w:szCs w:val="28"/>
        </w:rPr>
        <w:t>图来看，后两只股票的月收益率大体服从正态分布，前两只</w:t>
      </w:r>
      <w:proofErr w:type="gramStart"/>
      <w:r w:rsidR="006401FF" w:rsidRPr="00B176E5">
        <w:rPr>
          <w:sz w:val="28"/>
          <w:szCs w:val="28"/>
        </w:rPr>
        <w:t>股票月</w:t>
      </w:r>
      <w:proofErr w:type="gramEnd"/>
      <w:r w:rsidR="006401FF" w:rsidRPr="00B176E5">
        <w:rPr>
          <w:sz w:val="28"/>
          <w:szCs w:val="28"/>
        </w:rPr>
        <w:t>收益率的分布与正态分布差距较大</w:t>
      </w:r>
    </w:p>
    <w:p w:rsidR="00BF6C33" w:rsidRDefault="00BF6C33" w:rsidP="008B33F3">
      <w:pPr>
        <w:ind w:firstLine="360"/>
        <w:rPr>
          <w:sz w:val="28"/>
          <w:szCs w:val="28"/>
        </w:rPr>
      </w:pPr>
    </w:p>
    <w:p w:rsidR="006401FF" w:rsidRPr="00B176E5" w:rsidRDefault="006401FF" w:rsidP="008B33F3">
      <w:pPr>
        <w:ind w:firstLine="360"/>
        <w:rPr>
          <w:sz w:val="28"/>
          <w:szCs w:val="28"/>
        </w:rPr>
      </w:pPr>
      <w:r w:rsidRPr="00B176E5">
        <w:rPr>
          <w:sz w:val="28"/>
          <w:szCs w:val="28"/>
        </w:rPr>
        <w:t>。</w:t>
      </w:r>
      <w:r w:rsidR="00BF6C33">
        <w:rPr>
          <w:noProof/>
          <w:sz w:val="28"/>
          <w:szCs w:val="28"/>
        </w:rPr>
        <w:drawing>
          <wp:inline distT="0" distB="0" distL="0" distR="0">
            <wp:extent cx="3486150" cy="2499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512082" cy="2518098"/>
                    </a:xfrm>
                    <a:prstGeom prst="rect">
                      <a:avLst/>
                    </a:prstGeom>
                  </pic:spPr>
                </pic:pic>
              </a:graphicData>
            </a:graphic>
          </wp:inline>
        </w:drawing>
      </w:r>
    </w:p>
    <w:p w:rsidR="008B6F6F" w:rsidRPr="00B176E5" w:rsidRDefault="008B33F3" w:rsidP="006401FF">
      <w:pPr>
        <w:ind w:firstLine="360"/>
        <w:rPr>
          <w:sz w:val="28"/>
          <w:szCs w:val="28"/>
        </w:rPr>
      </w:pPr>
      <w:r w:rsidRPr="00B176E5">
        <w:rPr>
          <w:rFonts w:hint="eastAsia"/>
          <w:sz w:val="28"/>
          <w:szCs w:val="28"/>
        </w:rPr>
        <w:lastRenderedPageBreak/>
        <w:t>3.</w:t>
      </w:r>
      <w:r w:rsidR="008B6F6F" w:rsidRPr="00B176E5">
        <w:rPr>
          <w:rFonts w:hint="eastAsia"/>
          <w:sz w:val="28"/>
          <w:szCs w:val="28"/>
        </w:rPr>
        <w:t>总体上看高风险高收益的模式是成立的，但各股情况有差异，我们选择的四肢股票中的粤赣高速（</w:t>
      </w:r>
      <w:r w:rsidR="008B6F6F" w:rsidRPr="00B176E5">
        <w:rPr>
          <w:rFonts w:hint="eastAsia"/>
          <w:sz w:val="28"/>
          <w:szCs w:val="28"/>
        </w:rPr>
        <w:t>600269</w:t>
      </w:r>
      <w:r w:rsidR="008B6F6F" w:rsidRPr="00B176E5">
        <w:rPr>
          <w:rFonts w:hint="eastAsia"/>
          <w:sz w:val="28"/>
          <w:szCs w:val="28"/>
        </w:rPr>
        <w:t>）比较特殊，其即属于核能核电概念，又属于转债标的概念，可以看到，在各个时间段，其风险都小于其余三只核能核电概念股，但其收益总体处于平均水平。总体上各股在各时间段上的收益与风险变化趋势基本相同，呈现了收益上升风险也随之上升的趋势。</w:t>
      </w:r>
      <w:r w:rsidR="00BF6C33">
        <w:rPr>
          <w:noProof/>
          <w:sz w:val="28"/>
          <w:szCs w:val="28"/>
        </w:rPr>
        <w:drawing>
          <wp:inline distT="0" distB="0" distL="0" distR="0">
            <wp:extent cx="4048125" cy="28041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4058981" cy="2811690"/>
                    </a:xfrm>
                    <a:prstGeom prst="rect">
                      <a:avLst/>
                    </a:prstGeom>
                  </pic:spPr>
                </pic:pic>
              </a:graphicData>
            </a:graphic>
          </wp:inline>
        </w:drawing>
      </w:r>
    </w:p>
    <w:p w:rsidR="008B6F6F" w:rsidRPr="00B176E5" w:rsidRDefault="008B33F3" w:rsidP="006401FF">
      <w:pPr>
        <w:ind w:firstLine="360"/>
        <w:rPr>
          <w:sz w:val="28"/>
          <w:szCs w:val="28"/>
        </w:rPr>
      </w:pPr>
      <w:r w:rsidRPr="00B176E5">
        <w:rPr>
          <w:rFonts w:hint="eastAsia"/>
          <w:sz w:val="28"/>
          <w:szCs w:val="28"/>
        </w:rPr>
        <w:t>4.</w:t>
      </w:r>
      <w:r w:rsidR="008B6F6F" w:rsidRPr="00B176E5">
        <w:rPr>
          <w:rFonts w:hint="eastAsia"/>
          <w:sz w:val="28"/>
          <w:szCs w:val="28"/>
        </w:rPr>
        <w:t>从每一支股票来看，其收益风险特性显然是不平稳的，</w:t>
      </w:r>
      <w:r w:rsidR="00C76E97" w:rsidRPr="00B176E5">
        <w:rPr>
          <w:rFonts w:hint="eastAsia"/>
          <w:sz w:val="28"/>
          <w:szCs w:val="28"/>
        </w:rPr>
        <w:t>各股收益深受中国股票市场大环境影响，不同时段收益与风险差异较大。四支股票风险变化趋势基本相符，但收益出现了个股变化趋势差异较大的情况，存在个股因公司转型造成的收益大幅下跌情况，也存在公司并购等重大利好造成的收益答复升高的现象。</w:t>
      </w:r>
    </w:p>
    <w:p w:rsidR="00F420E7" w:rsidRPr="00B176E5" w:rsidRDefault="008B33F3" w:rsidP="00F420E7">
      <w:pPr>
        <w:ind w:firstLine="360"/>
        <w:rPr>
          <w:sz w:val="28"/>
          <w:szCs w:val="28"/>
        </w:rPr>
      </w:pPr>
      <w:r w:rsidRPr="00B176E5">
        <w:rPr>
          <w:rFonts w:hint="eastAsia"/>
          <w:sz w:val="28"/>
          <w:szCs w:val="28"/>
        </w:rPr>
        <w:t>5.</w:t>
      </w:r>
      <w:r w:rsidRPr="00B176E5">
        <w:rPr>
          <w:rFonts w:hint="eastAsia"/>
          <w:sz w:val="28"/>
          <w:szCs w:val="28"/>
        </w:rPr>
        <w:t>股票收益率之间的</w:t>
      </w:r>
      <w:r w:rsidR="00C76E97" w:rsidRPr="00B176E5">
        <w:rPr>
          <w:rFonts w:hint="eastAsia"/>
          <w:sz w:val="28"/>
          <w:szCs w:val="28"/>
        </w:rPr>
        <w:t>相关系数基本稳定在</w:t>
      </w:r>
      <w:r w:rsidR="00C76E97" w:rsidRPr="00B176E5">
        <w:rPr>
          <w:rFonts w:hint="eastAsia"/>
          <w:sz w:val="28"/>
          <w:szCs w:val="28"/>
        </w:rPr>
        <w:t>0.6</w:t>
      </w:r>
      <w:r w:rsidR="00C76E97" w:rsidRPr="00B176E5">
        <w:rPr>
          <w:rFonts w:hint="eastAsia"/>
          <w:sz w:val="28"/>
          <w:szCs w:val="28"/>
        </w:rPr>
        <w:t>附近，</w:t>
      </w:r>
      <w:r w:rsidRPr="00B176E5">
        <w:rPr>
          <w:rFonts w:hint="eastAsia"/>
          <w:sz w:val="28"/>
          <w:szCs w:val="28"/>
        </w:rPr>
        <w:t>没有太大波动，而且没有出现负值的情况，</w:t>
      </w:r>
      <w:r w:rsidR="00C76E97" w:rsidRPr="00B176E5">
        <w:rPr>
          <w:rFonts w:hint="eastAsia"/>
          <w:sz w:val="28"/>
          <w:szCs w:val="28"/>
        </w:rPr>
        <w:t>但受中国股市大环境影响，</w:t>
      </w:r>
      <w:r w:rsidR="00C76E97" w:rsidRPr="00B176E5">
        <w:rPr>
          <w:rFonts w:hint="eastAsia"/>
          <w:sz w:val="28"/>
          <w:szCs w:val="28"/>
        </w:rPr>
        <w:t>06-08</w:t>
      </w:r>
      <w:r w:rsidR="00C76E97" w:rsidRPr="00B176E5">
        <w:rPr>
          <w:rFonts w:hint="eastAsia"/>
          <w:sz w:val="28"/>
          <w:szCs w:val="28"/>
        </w:rPr>
        <w:t>年各股股价都明显上升，所以出现了相关系数也上升的现象，之后回归</w:t>
      </w:r>
      <w:r w:rsidR="00C76E97" w:rsidRPr="00B176E5">
        <w:rPr>
          <w:rFonts w:hint="eastAsia"/>
          <w:sz w:val="28"/>
          <w:szCs w:val="28"/>
        </w:rPr>
        <w:t>0.6</w:t>
      </w:r>
      <w:r w:rsidR="00C76E97" w:rsidRPr="00B176E5">
        <w:rPr>
          <w:rFonts w:hint="eastAsia"/>
          <w:sz w:val="28"/>
          <w:szCs w:val="28"/>
        </w:rPr>
        <w:lastRenderedPageBreak/>
        <w:t>附近。</w:t>
      </w:r>
      <w:r w:rsidR="00BD0BC1">
        <w:rPr>
          <w:noProof/>
          <w:sz w:val="28"/>
          <w:szCs w:val="28"/>
        </w:rPr>
        <w:drawing>
          <wp:inline distT="0" distB="0" distL="0" distR="0">
            <wp:extent cx="4324350" cy="30164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340784" cy="3027904"/>
                    </a:xfrm>
                    <a:prstGeom prst="rect">
                      <a:avLst/>
                    </a:prstGeom>
                  </pic:spPr>
                </pic:pic>
              </a:graphicData>
            </a:graphic>
          </wp:inline>
        </w:drawing>
      </w:r>
    </w:p>
    <w:p w:rsidR="00C76E97" w:rsidRPr="00B176E5" w:rsidRDefault="008B33F3" w:rsidP="00F420E7">
      <w:pPr>
        <w:ind w:firstLine="420"/>
        <w:rPr>
          <w:sz w:val="28"/>
          <w:szCs w:val="28"/>
        </w:rPr>
      </w:pPr>
      <w:r w:rsidRPr="00B176E5">
        <w:rPr>
          <w:rFonts w:hint="eastAsia"/>
          <w:sz w:val="28"/>
          <w:szCs w:val="28"/>
        </w:rPr>
        <w:t>6.</w:t>
      </w:r>
      <w:r w:rsidR="0047193F" w:rsidRPr="00B176E5">
        <w:rPr>
          <w:rFonts w:hint="eastAsia"/>
          <w:sz w:val="28"/>
          <w:szCs w:val="28"/>
        </w:rPr>
        <w:t>对比各时段的有效前沿可知，</w:t>
      </w:r>
      <w:r w:rsidR="0047193F" w:rsidRPr="00B176E5">
        <w:rPr>
          <w:rFonts w:hint="eastAsia"/>
          <w:sz w:val="28"/>
          <w:szCs w:val="28"/>
        </w:rPr>
        <w:t>00-05</w:t>
      </w:r>
      <w:r w:rsidR="0047193F" w:rsidRPr="00B176E5">
        <w:rPr>
          <w:rFonts w:hint="eastAsia"/>
          <w:sz w:val="28"/>
          <w:szCs w:val="28"/>
        </w:rPr>
        <w:t>年的特性是低风险、低收益，而</w:t>
      </w:r>
      <w:r w:rsidR="0047193F" w:rsidRPr="00B176E5">
        <w:rPr>
          <w:rFonts w:hint="eastAsia"/>
          <w:sz w:val="28"/>
          <w:szCs w:val="28"/>
        </w:rPr>
        <w:t>06-08</w:t>
      </w:r>
      <w:r w:rsidR="0047193F" w:rsidRPr="00B176E5">
        <w:rPr>
          <w:rFonts w:hint="eastAsia"/>
          <w:sz w:val="28"/>
          <w:szCs w:val="28"/>
        </w:rPr>
        <w:t>年的特性是高风险、高收益，之后的风险和收益降低明显，但与</w:t>
      </w:r>
      <w:r w:rsidR="0047193F" w:rsidRPr="00B176E5">
        <w:rPr>
          <w:rFonts w:hint="eastAsia"/>
          <w:sz w:val="28"/>
          <w:szCs w:val="28"/>
        </w:rPr>
        <w:t>00-05</w:t>
      </w:r>
      <w:r w:rsidR="0047193F" w:rsidRPr="00B176E5">
        <w:rPr>
          <w:rFonts w:hint="eastAsia"/>
          <w:sz w:val="28"/>
          <w:szCs w:val="28"/>
        </w:rPr>
        <w:t>年相比，风险更高而收益更低，可见市场大概处于波动较大、而收益较小的情形。</w:t>
      </w:r>
      <w:r w:rsidR="0047193F" w:rsidRPr="00B176E5">
        <w:rPr>
          <w:rFonts w:hint="eastAsia"/>
          <w:sz w:val="28"/>
          <w:szCs w:val="28"/>
        </w:rPr>
        <w:t xml:space="preserve"> </w:t>
      </w:r>
      <w:r w:rsidR="0047193F" w:rsidRPr="00B176E5">
        <w:rPr>
          <w:rFonts w:hint="eastAsia"/>
          <w:sz w:val="28"/>
          <w:szCs w:val="28"/>
        </w:rPr>
        <w:t>从投资组合的角度来看，在</w:t>
      </w:r>
      <w:r w:rsidR="0047193F" w:rsidRPr="00B176E5">
        <w:rPr>
          <w:rFonts w:hint="eastAsia"/>
          <w:sz w:val="28"/>
          <w:szCs w:val="28"/>
        </w:rPr>
        <w:t>03-05</w:t>
      </w:r>
      <w:r w:rsidR="0047193F" w:rsidRPr="00B176E5">
        <w:rPr>
          <w:rFonts w:hint="eastAsia"/>
          <w:sz w:val="28"/>
          <w:szCs w:val="28"/>
        </w:rPr>
        <w:t>、</w:t>
      </w:r>
      <w:r w:rsidR="0047193F" w:rsidRPr="00B176E5">
        <w:rPr>
          <w:rFonts w:hint="eastAsia"/>
          <w:sz w:val="28"/>
          <w:szCs w:val="28"/>
        </w:rPr>
        <w:t>06-08</w:t>
      </w:r>
      <w:r w:rsidR="0047193F" w:rsidRPr="00B176E5">
        <w:rPr>
          <w:rFonts w:hint="eastAsia"/>
          <w:sz w:val="28"/>
          <w:szCs w:val="28"/>
        </w:rPr>
        <w:t>、</w:t>
      </w:r>
      <w:r w:rsidR="0047193F" w:rsidRPr="00B176E5">
        <w:rPr>
          <w:rFonts w:hint="eastAsia"/>
          <w:sz w:val="28"/>
          <w:szCs w:val="28"/>
        </w:rPr>
        <w:t>12-14</w:t>
      </w:r>
      <w:r w:rsidR="0047193F" w:rsidRPr="00B176E5">
        <w:rPr>
          <w:rFonts w:hint="eastAsia"/>
          <w:sz w:val="28"/>
          <w:szCs w:val="28"/>
        </w:rPr>
        <w:t>年时间段，存在各股投资权重都不小于零的较优投资组合，而在</w:t>
      </w:r>
      <w:r w:rsidR="0047193F" w:rsidRPr="00B176E5">
        <w:rPr>
          <w:rFonts w:hint="eastAsia"/>
          <w:sz w:val="28"/>
          <w:szCs w:val="28"/>
        </w:rPr>
        <w:t>00-02</w:t>
      </w:r>
      <w:r w:rsidR="0047193F" w:rsidRPr="00B176E5">
        <w:rPr>
          <w:rFonts w:hint="eastAsia"/>
          <w:sz w:val="28"/>
          <w:szCs w:val="28"/>
        </w:rPr>
        <w:t>、</w:t>
      </w:r>
      <w:r w:rsidR="0047193F" w:rsidRPr="00B176E5">
        <w:rPr>
          <w:rFonts w:hint="eastAsia"/>
          <w:sz w:val="28"/>
          <w:szCs w:val="28"/>
        </w:rPr>
        <w:t>09-11</w:t>
      </w:r>
      <w:r w:rsidRPr="00B176E5">
        <w:rPr>
          <w:rFonts w:hint="eastAsia"/>
          <w:sz w:val="28"/>
          <w:szCs w:val="28"/>
        </w:rPr>
        <w:t>年时间段，所得的投资组合结果低于无风险收益率，这里有两种解释，其一是无风险收益率是外设常量，可能在特定时间段与实际无风险收益率有较大差异；其二是此时市场上按投资组合理论不存在有效的切线组合和有效前沿，应选择无风险资产进行投资</w:t>
      </w:r>
      <w:r w:rsidR="00DF6136">
        <w:rPr>
          <w:noProof/>
          <w:sz w:val="28"/>
          <w:szCs w:val="28"/>
        </w:rPr>
        <w:lastRenderedPageBreak/>
        <w:drawing>
          <wp:inline distT="0" distB="0" distL="0" distR="0">
            <wp:extent cx="4898858" cy="33242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912448" cy="3333447"/>
                    </a:xfrm>
                    <a:prstGeom prst="rect">
                      <a:avLst/>
                    </a:prstGeom>
                  </pic:spPr>
                </pic:pic>
              </a:graphicData>
            </a:graphic>
          </wp:inline>
        </w:drawing>
      </w:r>
      <w:r w:rsidR="00984785">
        <w:rPr>
          <w:noProof/>
          <w:sz w:val="28"/>
          <w:szCs w:val="28"/>
        </w:rPr>
        <w:drawing>
          <wp:inline distT="0" distB="0" distL="0" distR="0">
            <wp:extent cx="4979534" cy="33789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4979534" cy="3378970"/>
                    </a:xfrm>
                    <a:prstGeom prst="rect">
                      <a:avLst/>
                    </a:prstGeom>
                  </pic:spPr>
                </pic:pic>
              </a:graphicData>
            </a:graphic>
          </wp:inline>
        </w:drawing>
      </w:r>
      <w:bookmarkStart w:id="0" w:name="_GoBack"/>
      <w:bookmarkEnd w:id="0"/>
    </w:p>
    <w:sectPr w:rsidR="00C76E97" w:rsidRPr="00B176E5" w:rsidSect="00BB471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56A3"/>
    <w:multiLevelType w:val="hybridMultilevel"/>
    <w:tmpl w:val="D10A1B36"/>
    <w:lvl w:ilvl="0" w:tplc="A0CC558E">
      <w:start w:val="4"/>
      <w:numFmt w:val="decimal"/>
      <w:lvlText w:val="%1．"/>
      <w:lvlJc w:val="left"/>
      <w:pPr>
        <w:ind w:left="1140" w:hanging="72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BD45210"/>
    <w:multiLevelType w:val="multilevel"/>
    <w:tmpl w:val="D10A1B36"/>
    <w:lvl w:ilvl="0">
      <w:start w:val="4"/>
      <w:numFmt w:val="decimal"/>
      <w:lvlText w:val="%1．"/>
      <w:lvlJc w:val="left"/>
      <w:pPr>
        <w:ind w:left="114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48301D4A"/>
    <w:multiLevelType w:val="hybridMultilevel"/>
    <w:tmpl w:val="DD000C38"/>
    <w:lvl w:ilvl="0" w:tplc="DA7077F8">
      <w:start w:val="1"/>
      <w:numFmt w:val="low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1623558"/>
    <w:multiLevelType w:val="hybridMultilevel"/>
    <w:tmpl w:val="B90CAE58"/>
    <w:lvl w:ilvl="0" w:tplc="A0CC558E">
      <w:start w:val="4"/>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7046769B"/>
    <w:multiLevelType w:val="hybridMultilevel"/>
    <w:tmpl w:val="DBA87300"/>
    <w:lvl w:ilvl="0" w:tplc="A0CC558E">
      <w:start w:val="4"/>
      <w:numFmt w:val="decimal"/>
      <w:lvlText w:val="%1．"/>
      <w:lvlJc w:val="left"/>
      <w:pPr>
        <w:ind w:left="1380" w:hanging="72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70843A41"/>
    <w:multiLevelType w:val="hybridMultilevel"/>
    <w:tmpl w:val="CCD0E0BC"/>
    <w:lvl w:ilvl="0" w:tplc="ADC283D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F6F"/>
    <w:rsid w:val="0047193F"/>
    <w:rsid w:val="004F2664"/>
    <w:rsid w:val="006401FF"/>
    <w:rsid w:val="008B33F3"/>
    <w:rsid w:val="008B6F6F"/>
    <w:rsid w:val="008E6400"/>
    <w:rsid w:val="00984785"/>
    <w:rsid w:val="00B176E5"/>
    <w:rsid w:val="00BB4715"/>
    <w:rsid w:val="00BD0BC1"/>
    <w:rsid w:val="00BF6C33"/>
    <w:rsid w:val="00C76E97"/>
    <w:rsid w:val="00DF6136"/>
    <w:rsid w:val="00F42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EACF4BF-D904-406B-9332-060988FB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B6F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6F6F"/>
    <w:rPr>
      <w:b/>
      <w:bCs/>
      <w:kern w:val="44"/>
      <w:sz w:val="44"/>
      <w:szCs w:val="44"/>
    </w:rPr>
  </w:style>
  <w:style w:type="paragraph" w:styleId="a3">
    <w:name w:val="List Paragraph"/>
    <w:basedOn w:val="a"/>
    <w:uiPriority w:val="34"/>
    <w:qFormat/>
    <w:rsid w:val="008B6F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971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小尾</dc:creator>
  <cp:keywords/>
  <dc:description/>
  <cp:lastModifiedBy>xiayingfan</cp:lastModifiedBy>
  <cp:revision>9</cp:revision>
  <dcterms:created xsi:type="dcterms:W3CDTF">2016-01-12T11:25:00Z</dcterms:created>
  <dcterms:modified xsi:type="dcterms:W3CDTF">2016-01-12T13:43:00Z</dcterms:modified>
</cp:coreProperties>
</file>