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Phase 5 — Source-Target Reconciliation Report</w:t>
      </w:r>
    </w:p>
    <w:p>
      <w:pPr>
        <w:jc w:val="center"/>
      </w:pPr>
      <w:r>
        <w:rPr>
          <w:i/>
        </w:rPr>
        <w:t>LJ Dev Commerce — E-commerce Data Analytics</w:t>
      </w:r>
    </w:p>
    <w:p>
      <w:r>
        <w:t>Phase: 5 — PostgreSQL-Wide Validation</w:t>
        <w:br/>
        <w:t>Status: Reconciliation review documented; final readiness sign-off remains qualified.</w:t>
      </w:r>
    </w:p>
    <w:p>
      <w:pPr>
        <w:pStyle w:val="Heading1"/>
      </w:pPr>
      <w:r>
        <w:t>1. Purpose</w:t>
      </w:r>
    </w:p>
    <w:p>
      <w:r>
        <w:t>This report records the available source-to-target comparison results and the known exception identified during PostgreSQL validation. It distinguishes the checks completed from limitations that remain unresolved.</w:t>
      </w:r>
    </w:p>
    <w:p>
      <w:pPr>
        <w:pStyle w:val="Heading1"/>
      </w:pPr>
      <w:r>
        <w:t>2. CSV-to-PostgreSQL comparison</w:t>
      </w:r>
    </w:p>
    <w:p>
      <w:r>
        <w:t>The comparison performed against the available clean CSV datasets and PostgreSQL export reported matching row counts and no mismatches under the applied field mappings and normalization.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t>Table</w:t>
            </w:r>
          </w:p>
        </w:tc>
        <w:tc>
          <w:tcPr>
            <w:tcW w:type="dxa" w:w="2520"/>
            <w:vAlign w:val="center"/>
          </w:tcPr>
          <w:p>
            <w:r>
              <w:t>Source rows</w:t>
            </w:r>
          </w:p>
        </w:tc>
        <w:tc>
          <w:tcPr>
            <w:tcW w:type="dxa" w:w="2520"/>
            <w:vAlign w:val="center"/>
          </w:tcPr>
          <w:p>
            <w:r>
              <w:t>Target rows</w:t>
            </w:r>
          </w:p>
        </w:tc>
        <w:tc>
          <w:tcPr>
            <w:tcW w:type="dxa" w:w="2520"/>
            <w:vAlign w:val="center"/>
          </w:tcPr>
          <w:p>
            <w:r>
              <w:t>Reported mismatched columns</w:t>
            </w:r>
          </w:p>
        </w:tc>
      </w:tr>
      <w:tr>
        <w:tc>
          <w:tcPr>
            <w:tcW w:type="dxa" w:w="2520"/>
            <w:vAlign w:val="center"/>
          </w:tcPr>
          <w:p>
            <w:r>
              <w:t>category</w:t>
            </w:r>
          </w:p>
        </w:tc>
        <w:tc>
          <w:tcPr>
            <w:tcW w:type="dxa" w:w="2520"/>
            <w:vAlign w:val="center"/>
          </w:tcPr>
          <w:p>
            <w:r>
              <w:t>6</w:t>
            </w:r>
          </w:p>
        </w:tc>
        <w:tc>
          <w:tcPr>
            <w:tcW w:type="dxa" w:w="2520"/>
            <w:vAlign w:val="center"/>
          </w:tcPr>
          <w:p>
            <w:r>
              <w:t>6</w:t>
            </w:r>
          </w:p>
        </w:tc>
        <w:tc>
          <w:tcPr>
            <w:tcW w:type="dxa" w:w="2520"/>
            <w:vAlign w:val="center"/>
          </w:tcPr>
          <w:p>
            <w:r>
              <w:t>0</w:t>
            </w:r>
          </w:p>
        </w:tc>
      </w:tr>
      <w:tr>
        <w:tc>
          <w:tcPr>
            <w:tcW w:type="dxa" w:w="2520"/>
            <w:vAlign w:val="center"/>
          </w:tcPr>
          <w:p>
            <w:r>
              <w:t>supplier</w:t>
            </w:r>
          </w:p>
        </w:tc>
        <w:tc>
          <w:tcPr>
            <w:tcW w:type="dxa" w:w="2520"/>
            <w:vAlign w:val="center"/>
          </w:tcPr>
          <w:p>
            <w:r>
              <w:t>8</w:t>
            </w:r>
          </w:p>
        </w:tc>
        <w:tc>
          <w:tcPr>
            <w:tcW w:type="dxa" w:w="2520"/>
            <w:vAlign w:val="center"/>
          </w:tcPr>
          <w:p>
            <w:r>
              <w:t>8</w:t>
            </w:r>
          </w:p>
        </w:tc>
        <w:tc>
          <w:tcPr>
            <w:tcW w:type="dxa" w:w="2520"/>
            <w:vAlign w:val="center"/>
          </w:tcPr>
          <w:p>
            <w:r>
              <w:t>0</w:t>
            </w:r>
          </w:p>
        </w:tc>
      </w:tr>
      <w:tr>
        <w:tc>
          <w:tcPr>
            <w:tcW w:type="dxa" w:w="2520"/>
            <w:vAlign w:val="center"/>
          </w:tcPr>
          <w:p>
            <w:r>
              <w:t>warehouse</w:t>
            </w:r>
          </w:p>
        </w:tc>
        <w:tc>
          <w:tcPr>
            <w:tcW w:type="dxa" w:w="2520"/>
            <w:vAlign w:val="center"/>
          </w:tcPr>
          <w:p>
            <w:r>
              <w:t>3</w:t>
            </w:r>
          </w:p>
        </w:tc>
        <w:tc>
          <w:tcPr>
            <w:tcW w:type="dxa" w:w="2520"/>
            <w:vAlign w:val="center"/>
          </w:tcPr>
          <w:p>
            <w:r>
              <w:t>3</w:t>
            </w:r>
          </w:p>
        </w:tc>
        <w:tc>
          <w:tcPr>
            <w:tcW w:type="dxa" w:w="2520"/>
            <w:vAlign w:val="center"/>
          </w:tcPr>
          <w:p>
            <w:r>
              <w:t>0</w:t>
            </w:r>
          </w:p>
        </w:tc>
      </w:tr>
      <w:tr>
        <w:tc>
          <w:tcPr>
            <w:tcW w:type="dxa" w:w="2520"/>
            <w:vAlign w:val="center"/>
          </w:tcPr>
          <w:p>
            <w:r>
              <w:t>inventory</w:t>
            </w:r>
          </w:p>
        </w:tc>
        <w:tc>
          <w:tcPr>
            <w:tcW w:type="dxa" w:w="2520"/>
            <w:vAlign w:val="center"/>
          </w:tcPr>
          <w:p>
            <w:r>
              <w:t>19</w:t>
            </w:r>
          </w:p>
        </w:tc>
        <w:tc>
          <w:tcPr>
            <w:tcW w:type="dxa" w:w="2520"/>
            <w:vAlign w:val="center"/>
          </w:tcPr>
          <w:p>
            <w:r>
              <w:t>19</w:t>
            </w:r>
          </w:p>
        </w:tc>
        <w:tc>
          <w:tcPr>
            <w:tcW w:type="dxa" w:w="2520"/>
            <w:vAlign w:val="center"/>
          </w:tcPr>
          <w:p>
            <w:r>
              <w:t>0</w:t>
            </w:r>
          </w:p>
        </w:tc>
      </w:tr>
      <w:tr>
        <w:tc>
          <w:tcPr>
            <w:tcW w:type="dxa" w:w="2520"/>
            <w:vAlign w:val="center"/>
          </w:tcPr>
          <w:p>
            <w:r>
              <w:t>marketing_campaign</w:t>
            </w:r>
          </w:p>
        </w:tc>
        <w:tc>
          <w:tcPr>
            <w:tcW w:type="dxa" w:w="2520"/>
            <w:vAlign w:val="center"/>
          </w:tcPr>
          <w:p>
            <w:r>
              <w:t>4</w:t>
            </w:r>
          </w:p>
        </w:tc>
        <w:tc>
          <w:tcPr>
            <w:tcW w:type="dxa" w:w="2520"/>
            <w:vAlign w:val="center"/>
          </w:tcPr>
          <w:p>
            <w:r>
              <w:t>4</w:t>
            </w:r>
          </w:p>
        </w:tc>
        <w:tc>
          <w:tcPr>
            <w:tcW w:type="dxa" w:w="2520"/>
            <w:vAlign w:val="center"/>
          </w:tcPr>
          <w:p>
            <w:r>
              <w:t>0</w:t>
            </w:r>
          </w:p>
        </w:tc>
      </w:tr>
      <w:tr>
        <w:tc>
          <w:tcPr>
            <w:tcW w:type="dxa" w:w="2520"/>
            <w:vAlign w:val="center"/>
          </w:tcPr>
          <w:p>
            <w:r>
              <w:t>product</w:t>
            </w:r>
          </w:p>
        </w:tc>
        <w:tc>
          <w:tcPr>
            <w:tcW w:type="dxa" w:w="2520"/>
            <w:vAlign w:val="center"/>
          </w:tcPr>
          <w:p>
            <w:r>
              <w:t>15</w:t>
            </w:r>
          </w:p>
        </w:tc>
        <w:tc>
          <w:tcPr>
            <w:tcW w:type="dxa" w:w="2520"/>
            <w:vAlign w:val="center"/>
          </w:tcPr>
          <w:p>
            <w:r>
              <w:t>15</w:t>
            </w:r>
          </w:p>
        </w:tc>
        <w:tc>
          <w:tcPr>
            <w:tcW w:type="dxa" w:w="2520"/>
            <w:vAlign w:val="center"/>
          </w:tcPr>
          <w:p>
            <w:r>
              <w:t>0</w:t>
            </w:r>
          </w:p>
        </w:tc>
      </w:tr>
      <w:tr>
        <w:tc>
          <w:tcPr>
            <w:tcW w:type="dxa" w:w="2520"/>
            <w:vAlign w:val="center"/>
          </w:tcPr>
          <w:p>
            <w:r>
              <w:t>payment</w:t>
            </w:r>
          </w:p>
        </w:tc>
        <w:tc>
          <w:tcPr>
            <w:tcW w:type="dxa" w:w="2520"/>
            <w:vAlign w:val="center"/>
          </w:tcPr>
          <w:p>
            <w:r>
              <w:t>20</w:t>
            </w:r>
          </w:p>
        </w:tc>
        <w:tc>
          <w:tcPr>
            <w:tcW w:type="dxa" w:w="2520"/>
            <w:vAlign w:val="center"/>
          </w:tcPr>
          <w:p>
            <w:r>
              <w:t>20</w:t>
            </w:r>
          </w:p>
        </w:tc>
        <w:tc>
          <w:tcPr>
            <w:tcW w:type="dxa" w:w="2520"/>
            <w:vAlign w:val="center"/>
          </w:tcPr>
          <w:p>
            <w:r>
              <w:t>0</w:t>
            </w:r>
          </w:p>
        </w:tc>
      </w:tr>
      <w:tr>
        <w:tc>
          <w:tcPr>
            <w:tcW w:type="dxa" w:w="2520"/>
            <w:vAlign w:val="center"/>
          </w:tcPr>
          <w:p>
            <w:r>
              <w:t>return</w:t>
            </w:r>
          </w:p>
        </w:tc>
        <w:tc>
          <w:tcPr>
            <w:tcW w:type="dxa" w:w="2520"/>
            <w:vAlign w:val="center"/>
          </w:tcPr>
          <w:p>
            <w:r>
              <w:t>4</w:t>
            </w:r>
          </w:p>
        </w:tc>
        <w:tc>
          <w:tcPr>
            <w:tcW w:type="dxa" w:w="2520"/>
            <w:vAlign w:val="center"/>
          </w:tcPr>
          <w:p>
            <w:r>
              <w:t>4</w:t>
            </w:r>
          </w:p>
        </w:tc>
        <w:tc>
          <w:tcPr>
            <w:tcW w:type="dxa" w:w="2520"/>
            <w:vAlign w:val="center"/>
          </w:tcPr>
          <w:p>
            <w:r>
              <w:t>0</w:t>
            </w:r>
          </w:p>
        </w:tc>
      </w:tr>
      <w:tr>
        <w:tc>
          <w:tcPr>
            <w:tcW w:type="dxa" w:w="2520"/>
            <w:vAlign w:val="center"/>
          </w:tcPr>
          <w:p>
            <w:r>
              <w:t>shipment</w:t>
            </w:r>
          </w:p>
        </w:tc>
        <w:tc>
          <w:tcPr>
            <w:tcW w:type="dxa" w:w="2520"/>
            <w:vAlign w:val="center"/>
          </w:tcPr>
          <w:p>
            <w:r>
              <w:t>14</w:t>
            </w:r>
          </w:p>
        </w:tc>
        <w:tc>
          <w:tcPr>
            <w:tcW w:type="dxa" w:w="2520"/>
            <w:vAlign w:val="center"/>
          </w:tcPr>
          <w:p>
            <w:r>
              <w:t>14</w:t>
            </w:r>
          </w:p>
        </w:tc>
        <w:tc>
          <w:tcPr>
            <w:tcW w:type="dxa" w:w="2520"/>
            <w:vAlign w:val="center"/>
          </w:tcPr>
          <w:p>
            <w:r>
              <w:t>0</w:t>
            </w:r>
          </w:p>
        </w:tc>
      </w:tr>
      <w:tr>
        <w:tc>
          <w:tcPr>
            <w:tcW w:type="dxa" w:w="2520"/>
            <w:vAlign w:val="center"/>
          </w:tcPr>
          <w:p>
            <w:r>
              <w:t>sales_order</w:t>
            </w:r>
          </w:p>
        </w:tc>
        <w:tc>
          <w:tcPr>
            <w:tcW w:type="dxa" w:w="2520"/>
            <w:vAlign w:val="center"/>
          </w:tcPr>
          <w:p>
            <w:r>
              <w:t>20</w:t>
            </w:r>
          </w:p>
        </w:tc>
        <w:tc>
          <w:tcPr>
            <w:tcW w:type="dxa" w:w="2520"/>
            <w:vAlign w:val="center"/>
          </w:tcPr>
          <w:p>
            <w:r>
              <w:t>20</w:t>
            </w:r>
          </w:p>
        </w:tc>
        <w:tc>
          <w:tcPr>
            <w:tcW w:type="dxa" w:w="2520"/>
            <w:vAlign w:val="center"/>
          </w:tcPr>
          <w:p>
            <w:r>
              <w:t>0</w:t>
            </w:r>
          </w:p>
        </w:tc>
      </w:tr>
      <w:tr>
        <w:tc>
          <w:tcPr>
            <w:tcW w:type="dxa" w:w="2520"/>
            <w:vAlign w:val="center"/>
          </w:tcPr>
          <w:p>
            <w:r>
              <w:t>sales_order_item</w:t>
            </w:r>
          </w:p>
        </w:tc>
        <w:tc>
          <w:tcPr>
            <w:tcW w:type="dxa" w:w="2520"/>
            <w:vAlign w:val="center"/>
          </w:tcPr>
          <w:p>
            <w:r>
              <w:t>26</w:t>
            </w:r>
          </w:p>
        </w:tc>
        <w:tc>
          <w:tcPr>
            <w:tcW w:type="dxa" w:w="2520"/>
            <w:vAlign w:val="center"/>
          </w:tcPr>
          <w:p>
            <w:r>
              <w:t>26</w:t>
            </w:r>
          </w:p>
        </w:tc>
        <w:tc>
          <w:tcPr>
            <w:tcW w:type="dxa" w:w="2520"/>
            <w:vAlign w:val="center"/>
          </w:tcPr>
          <w:p>
            <w:r>
              <w:t>0</w:t>
            </w:r>
          </w:p>
        </w:tc>
      </w:tr>
      <w:tr>
        <w:tc>
          <w:tcPr>
            <w:tcW w:type="dxa" w:w="2520"/>
            <w:vAlign w:val="center"/>
          </w:tcPr>
          <w:p>
            <w:r>
              <w:t>Total</w:t>
            </w:r>
          </w:p>
        </w:tc>
        <w:tc>
          <w:tcPr>
            <w:tcW w:type="dxa" w:w="2520"/>
            <w:vAlign w:val="center"/>
          </w:tcPr>
          <w:p>
            <w:r>
              <w:t>139</w:t>
            </w:r>
          </w:p>
        </w:tc>
        <w:tc>
          <w:tcPr>
            <w:tcW w:type="dxa" w:w="2520"/>
            <w:vAlign w:val="center"/>
          </w:tcPr>
          <w:p>
            <w:r>
              <w:t>139</w:t>
            </w:r>
          </w:p>
        </w:tc>
        <w:tc>
          <w:tcPr>
            <w:tcW w:type="dxa" w:w="2520"/>
            <w:vAlign w:val="center"/>
          </w:tcPr>
          <w:p>
            <w:r>
              <w:t>0</w:t>
            </w:r>
          </w:p>
        </w:tc>
      </w:tr>
    </w:tbl>
    <w:p>
      <w:r>
        <w:t>Interpretation: These results indicate that the listed tables matched under the comparison’s applied mappings and normalization. They should not be treated as an independently proven, exhaustive comparison of every source field and key. The comparison logic had limitations around numeric/string normalization and duplicate-key handling for sales-order items.</w:t>
      </w:r>
    </w:p>
    <w:p>
      <w:pPr>
        <w:pStyle w:val="Heading1"/>
      </w:pPr>
      <w:r>
        <w:t>3. Customer review</w:t>
      </w:r>
    </w:p>
    <w:p>
      <w:r>
        <w:t>Customer was reviewed separately because it was not included in the clean-CSV comparison set. The PostgreSQL table contains 15 records. The documented schema correction converted customer_status to Boolean is_active, made email, phone, and address nullable, and retained city and country as required fields. The records were reviewed separately and the schema was revalidated.</w:t>
      </w:r>
    </w:p>
    <w:p>
      <w:r>
        <w:t>This separate review is not represented as part of the 11-table CSV comparison above.</w:t>
      </w:r>
    </w:p>
    <w:p>
      <w:pPr>
        <w:pStyle w:val="Heading1"/>
      </w:pPr>
      <w:r>
        <w:t>4. Inventory movement exception</w:t>
      </w:r>
    </w:p>
    <w:tbl>
      <w:tblPr>
        <w:tblStyle w:val="TableGrid"/>
        <w:tblW w:type="auto" w:w="0"/>
        <w:jc w:val="center"/>
        <w:tblLook w:firstColumn="1" w:firstRow="1" w:lastColumn="0" w:lastRow="0" w:noHBand="0" w:noVBand="1" w:val="04A0"/>
      </w:tblPr>
      <w:tblGrid>
        <w:gridCol w:w="5040"/>
        <w:gridCol w:w="5040"/>
      </w:tblGrid>
      <w:tr>
        <w:tc>
          <w:tcPr>
            <w:tcW w:type="dxa" w:w="5040"/>
          </w:tcPr>
          <w:p>
            <w:r>
              <w:t>Item</w:t>
            </w:r>
          </w:p>
        </w:tc>
        <w:tc>
          <w:tcPr>
            <w:tcW w:type="dxa" w:w="5040"/>
          </w:tcPr>
          <w:p>
            <w:r>
              <w:t>Result</w:t>
            </w:r>
          </w:p>
        </w:tc>
      </w:tr>
      <w:tr>
        <w:tc>
          <w:tcPr>
            <w:tcW w:type="dxa" w:w="5040"/>
          </w:tcPr>
          <w:p>
            <w:r>
              <w:t>Prepared source/database-ready records</w:t>
            </w:r>
          </w:p>
        </w:tc>
        <w:tc>
          <w:tcPr>
            <w:tcW w:type="dxa" w:w="5040"/>
          </w:tcPr>
          <w:p>
            <w:r>
              <w:t>26</w:t>
            </w:r>
          </w:p>
        </w:tc>
      </w:tr>
      <w:tr>
        <w:tc>
          <w:tcPr>
            <w:tcW w:type="dxa" w:w="5040"/>
          </w:tcPr>
          <w:p>
            <w:r>
              <w:t>PostgreSQL target rows</w:t>
            </w:r>
          </w:p>
        </w:tc>
        <w:tc>
          <w:tcPr>
            <w:tcW w:type="dxa" w:w="5040"/>
          </w:tcPr>
          <w:p>
            <w:r>
              <w:t>0</w:t>
            </w:r>
          </w:p>
        </w:tc>
      </w:tr>
      <w:tr>
        <w:tc>
          <w:tcPr>
            <w:tcW w:type="dxa" w:w="5040"/>
          </w:tcPr>
          <w:p>
            <w:r>
              <w:t>Exception</w:t>
            </w:r>
          </w:p>
        </w:tc>
        <w:tc>
          <w:tcPr>
            <w:tcW w:type="dxa" w:w="5040"/>
          </w:tcPr>
          <w:p>
            <w:r>
              <w:t>INM026 references inventory record IN020, which is absent from the completed inventory dataset (IN001–IN019).</w:t>
            </w:r>
          </w:p>
        </w:tc>
      </w:tr>
      <w:tr>
        <w:tc>
          <w:tcPr>
            <w:tcW w:type="dxa" w:w="5040"/>
          </w:tcPr>
          <w:p>
            <w:r>
              <w:t>Handling</w:t>
            </w:r>
          </w:p>
        </w:tc>
        <w:tc>
          <w:tcPr>
            <w:tcW w:type="dxa" w:w="5040"/>
          </w:tcPr>
          <w:p>
            <w:r>
              <w:t>The load was blocked by the foreign-key dependency.</w:t>
            </w:r>
          </w:p>
        </w:tc>
      </w:tr>
      <w:tr>
        <w:tc>
          <w:tcPr>
            <w:tcW w:type="dxa" w:w="5040"/>
          </w:tcPr>
          <w:p>
            <w:r>
              <w:t>Resolution</w:t>
            </w:r>
          </w:p>
        </w:tc>
        <w:tc>
          <w:tcPr>
            <w:tcW w:type="dxa" w:w="5040"/>
          </w:tcPr>
          <w:p>
            <w:r>
              <w:t>Unresolved; no mapping was invented, no record was deleted, and the foreign-key constraint was not bypassed.</w:t>
            </w:r>
          </w:p>
        </w:tc>
      </w:tr>
    </w:tbl>
    <w:p>
      <w:r>
        <w:t>The empty target table’s referential-integrity result does not establish that the 26 source records have been loaded or reconciled. This remains a documented dependency exception.</w:t>
      </w:r>
    </w:p>
    <w:p>
      <w:pPr>
        <w:pStyle w:val="Heading1"/>
      </w:pPr>
      <w:r>
        <w:t>5. Overall reconciliation assessment</w:t>
      </w:r>
    </w:p>
    <w:p>
      <w:pPr>
        <w:pStyle w:val="ListBullet"/>
      </w:pPr>
      <w:r>
        <w:t>The available comparison reported matching results for 11 tables, subject to the comparison-method limitations described above.</w:t>
      </w:r>
    </w:p>
    <w:p>
      <w:pPr>
        <w:pStyle w:val="ListBullet"/>
      </w:pPr>
      <w:r>
        <w:t>Customer was reviewed separately and its schema correction was revalidated.</w:t>
      </w:r>
    </w:p>
    <w:p>
      <w:pPr>
        <w:pStyle w:val="ListBullet"/>
      </w:pPr>
      <w:r>
        <w:t>Inventory movement remains unloaded due to the documented missing-parent dependency.</w:t>
      </w:r>
    </w:p>
    <w:p>
      <w:pPr>
        <w:pStyle w:val="ListBullet"/>
      </w:pPr>
      <w:r>
        <w:t>The Phase 5 SQL validation sections were executed, but the metadata readiness query explicitly requires manual review.</w:t>
      </w:r>
    </w:p>
    <w:p>
      <w:r>
        <w:rPr>
          <w:b/>
        </w:rPr>
        <w:t xml:space="preserve">Conclusion: </w:t>
      </w:r>
      <w:r>
        <w:t>Phase 5 validation work is substantially complete, with a documented inventory-movement exception and qualified reconciliation evidence. Do not record a full, unconditional PostgreSQL readiness sign-off. The project may proceed to Phase 6 if the exception and limitations remain visible in the project documentation and analytics requirements account for the currently empty inventory-movement table.</w:t>
      </w:r>
    </w:p>
    <w:p>
      <w:pPr>
        <w:pStyle w:val="Heading1"/>
      </w:pPr>
      <w:r>
        <w:t>6. Recommended documentation status</w:t>
      </w:r>
    </w:p>
    <w:p>
      <w:pPr>
        <w:ind w:left="360" w:right="360"/>
      </w:pPr>
      <w:r>
        <w:t>Phase 5 PostgreSQL validation sections 5.1–5.10 have been executed and reviewed. The available source-target comparison reported matching results for 11 tables, with Customer reviewed separately. Inventory Movement remains an explicitly documented load exception: 26 prepared records were not loaded because INM026 references missing inventory record IN020. Reconciliation and readiness are therefore qualified; this is not an unconditional production-readiness sign-off.</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