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Phase 6 — Power BI Requirements</w:t>
      </w:r>
    </w:p>
    <w:p>
      <w:pPr>
        <w:jc w:val="center"/>
      </w:pPr>
      <w:r>
        <w:t>LJ Dev Commerce | Section 6.8</w:t>
      </w:r>
    </w:p>
    <w:p>
      <w:r>
        <w:t>PHASE 6 DOCUMENTATION CLOSED — formatting and project KPI conventions aligned; implementation and acceptance testing pending.</w:t>
      </w:r>
    </w:p>
    <w:p>
      <w:pPr>
        <w:pStyle w:val="Heading1"/>
      </w:pPr>
      <w:r>
        <w:t>Purpose</w:t>
      </w:r>
    </w:p>
    <w:p>
      <w:r>
        <w:t>Define the initial reporting experience and implementation guardrails. Visuals remain proposed until the measures, source fields and model behavior pass implementation validation and acceptance testing.</w:t>
      </w:r>
    </w:p>
    <w:p>
      <w:pPr>
        <w:pStyle w:val="Heading1"/>
      </w:pPr>
      <w:r>
        <w:t>Proposed report pages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Page</w:t>
            </w:r>
          </w:p>
        </w:tc>
        <w:tc>
          <w:tcPr>
            <w:tcW w:type="dxa" w:w="3360"/>
          </w:tcPr>
          <w:p>
            <w:r>
              <w:t>Purpose</w:t>
            </w:r>
          </w:p>
        </w:tc>
        <w:tc>
          <w:tcPr>
            <w:tcW w:type="dxa" w:w="3360"/>
          </w:tcPr>
          <w:p>
            <w:r>
              <w:t>Candidate visuals</w:t>
            </w:r>
          </w:p>
        </w:tc>
      </w:tr>
      <w:tr>
        <w:tc>
          <w:tcPr>
            <w:tcW w:type="dxa" w:w="3360"/>
          </w:tcPr>
          <w:p>
            <w:r>
              <w:t>Executive Overview</w:t>
            </w:r>
          </w:p>
        </w:tc>
        <w:tc>
          <w:tcPr>
            <w:tcW w:type="dxa" w:w="3360"/>
          </w:tcPr>
          <w:p>
            <w:r>
              <w:t>Summarize approved sales and profitability.</w:t>
            </w:r>
          </w:p>
        </w:tc>
        <w:tc>
          <w:tcPr>
            <w:tcW w:type="dxa" w:w="3360"/>
          </w:tcPr>
          <w:p>
            <w:r>
              <w:t>KPI cards; monthly trend; product/category contribution; order status.</w:t>
            </w:r>
          </w:p>
        </w:tc>
      </w:tr>
      <w:tr>
        <w:tc>
          <w:tcPr>
            <w:tcW w:type="dxa" w:w="3360"/>
          </w:tcPr>
          <w:p>
            <w:r>
              <w:t>Sales Performance</w:t>
            </w:r>
          </w:p>
        </w:tc>
        <w:tc>
          <w:tcPr>
            <w:tcW w:type="dxa" w:w="3360"/>
          </w:tcPr>
          <w:p>
            <w:r>
              <w:t>Explore order and sales activity.</w:t>
            </w:r>
          </w:p>
        </w:tc>
        <w:tc>
          <w:tcPr>
            <w:tcW w:type="dxa" w:w="3360"/>
          </w:tcPr>
          <w:p>
            <w:r>
              <w:t>Monthly trend; sales by product/category/customer; status breakdown.</w:t>
            </w:r>
          </w:p>
        </w:tc>
      </w:tr>
      <w:tr>
        <w:tc>
          <w:tcPr>
            <w:tcW w:type="dxa" w:w="3360"/>
          </w:tcPr>
          <w:p>
            <w:r>
              <w:t>Product Performance</w:t>
            </w:r>
          </w:p>
        </w:tc>
        <w:tc>
          <w:tcPr>
            <w:tcW w:type="dxa" w:w="3360"/>
          </w:tcPr>
          <w:p>
            <w:r>
              <w:t>Compare product/category contribution.</w:t>
            </w:r>
          </w:p>
        </w:tc>
        <w:tc>
          <w:tcPr>
            <w:tcW w:type="dxa" w:w="3360"/>
          </w:tcPr>
          <w:p>
            <w:r>
              <w:t>Ranked bars; approved units/sales; time trend.</w:t>
            </w:r>
          </w:p>
        </w:tc>
      </w:tr>
      <w:tr>
        <w:tc>
          <w:tcPr>
            <w:tcW w:type="dxa" w:w="3360"/>
          </w:tcPr>
          <w:p>
            <w:r>
              <w:t>Customer &amp; Channel</w:t>
            </w:r>
          </w:p>
        </w:tc>
        <w:tc>
          <w:tcPr>
            <w:tcW w:type="dxa" w:w="3360"/>
          </w:tcPr>
          <w:p>
            <w:r>
              <w:t>Explore customer contribution and verified channel activity.</w:t>
            </w:r>
          </w:p>
        </w:tc>
        <w:tc>
          <w:tcPr>
            <w:tcW w:type="dxa" w:w="3360"/>
          </w:tcPr>
          <w:p>
            <w:r>
              <w:t>Customer contribution; channel comparison only if verified.</w:t>
            </w:r>
          </w:p>
        </w:tc>
      </w:tr>
      <w:tr>
        <w:tc>
          <w:tcPr>
            <w:tcW w:type="dxa" w:w="3360"/>
          </w:tcPr>
          <w:p>
            <w:r>
              <w:t>Inventory</w:t>
            </w:r>
          </w:p>
        </w:tc>
        <w:tc>
          <w:tcPr>
            <w:tcW w:type="dxa" w:w="3360"/>
          </w:tcPr>
          <w:p>
            <w:r>
              <w:t>Show latest stock and reorder monitoring.</w:t>
            </w:r>
          </w:p>
        </w:tc>
        <w:tc>
          <w:tcPr>
            <w:tcW w:type="dxa" w:w="3360"/>
          </w:tcPr>
          <w:p>
            <w:r>
              <w:t>Stock by warehouse/product; reorder exceptions; movement trend only after validation.</w:t>
            </w:r>
          </w:p>
        </w:tc>
      </w:tr>
    </w:tbl>
    <w:p>
      <w:pPr>
        <w:pStyle w:val="Heading1"/>
      </w:pPr>
      <w:r>
        <w:t>Interactions and usability</w:t>
      </w:r>
    </w:p>
    <w:p>
      <w:pPr>
        <w:pStyle w:val="ListBullet"/>
      </w:pPr>
      <w:r>
        <w:t>Use a validated calendar table for date filtering and time intelligence.</w:t>
      </w:r>
    </w:p>
    <w:p>
      <w:pPr>
        <w:pStyle w:val="ListBullet"/>
      </w:pPr>
      <w:r>
        <w:t>Apply product/category and warehouse filters only where relationships support them.</w:t>
      </w:r>
    </w:p>
    <w:p>
      <w:pPr>
        <w:pStyle w:val="ListBullet"/>
      </w:pPr>
      <w:r>
        <w:t>If using a reset-filters bookmark, test it across the intended page.</w:t>
      </w:r>
    </w:p>
    <w:p>
      <w:pPr>
        <w:pStyle w:val="ListBullet"/>
      </w:pPr>
      <w:r>
        <w:t>Use clear titles, units, currency labels and date granularity.</w:t>
      </w:r>
    </w:p>
    <w:p>
      <w:pPr>
        <w:pStyle w:val="ListBullet"/>
      </w:pPr>
      <w:r>
        <w:t>Avoid exposing customer contact details.</w:t>
      </w:r>
    </w:p>
    <w:p>
      <w:pPr>
        <w:pStyle w:val="ListBullet"/>
      </w:pPr>
      <w:r>
        <w:t>Use readable labels, accessible contrast and consistent number formatting.</w:t>
      </w:r>
    </w:p>
    <w:p>
      <w:pPr>
        <w:pStyle w:val="Heading1"/>
      </w:pPr>
      <w:r>
        <w:t>Model and measure guardrails</w:t>
      </w:r>
    </w:p>
    <w:p>
      <w:pPr>
        <w:pStyle w:val="ListBullet"/>
      </w:pPr>
      <w:r>
        <w:t>Use explicit DAX measures for the documented project KPIs and apply the eligibility and limitation notes in the requirements.</w:t>
      </w:r>
    </w:p>
    <w:p>
      <w:pPr>
        <w:pStyle w:val="ListBullet"/>
      </w:pPr>
      <w:r>
        <w:t>Validate relationship cardinality and filter direction.</w:t>
      </w:r>
    </w:p>
    <w:p>
      <w:pPr>
        <w:pStyle w:val="ListBullet"/>
      </w:pPr>
      <w:r>
        <w:t>Keep order-header and order-line grain distinct to prevent double counting.</w:t>
      </w:r>
    </w:p>
    <w:p>
      <w:pPr>
        <w:pStyle w:val="ListBullet"/>
      </w:pPr>
      <w:r>
        <w:t>Validate calendar relationships before time-intelligence calculations.</w:t>
      </w:r>
    </w:p>
    <w:p>
      <w:pPr>
        <w:pStyle w:val="ListBullet"/>
      </w:pPr>
      <w:r>
        <w:t>Do not present inventory movement metrics as complete while the PostgreSQL table is empty due to the documented exception.</w:t>
      </w:r>
    </w:p>
    <w:p>
      <w:pPr>
        <w:pStyle w:val="ListBullet"/>
      </w:pPr>
      <w:r>
        <w:t>Omit measures whose required fields or definitions are unverified; clearly label estimates and disclose documented limitations.</w:t>
      </w:r>
    </w:p>
    <w:p>
      <w:pPr>
        <w:pStyle w:val="Heading1"/>
      </w:pPr>
      <w:r>
        <w:t>Formatting proposals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Item</w:t>
            </w:r>
          </w:p>
        </w:tc>
        <w:tc>
          <w:tcPr>
            <w:tcW w:type="dxa" w:w="3360"/>
          </w:tcPr>
          <w:p>
            <w:r>
              <w:t>Proposal</w:t>
            </w:r>
          </w:p>
        </w:tc>
        <w:tc>
          <w:tcPr>
            <w:tcW w:type="dxa" w:w="3360"/>
          </w:tcPr>
          <w:p>
            <w:r>
              <w:t>Status</w:t>
            </w:r>
          </w:p>
        </w:tc>
      </w:tr>
      <w:tr>
        <w:tc>
          <w:tcPr>
            <w:tcW w:type="dxa" w:w="3360"/>
          </w:tcPr>
          <w:p>
            <w:r>
              <w:t>Currency</w:t>
            </w:r>
          </w:p>
        </w:tc>
        <w:tc>
          <w:tcPr>
            <w:tcW w:type="dxa" w:w="3360"/>
          </w:tcPr>
          <w:p>
            <w:r>
              <w:t>AED (UAE dirham).</w:t>
            </w:r>
          </w:p>
        </w:tc>
        <w:tc>
          <w:tcPr>
            <w:tcW w:type="dxa" w:w="3360"/>
          </w:tcPr>
          <w:p>
            <w:r>
              <w:t>Confirmed</w:t>
            </w:r>
          </w:p>
        </w:tc>
      </w:tr>
      <w:tr>
        <w:tc>
          <w:tcPr>
            <w:tcW w:type="dxa" w:w="3360"/>
          </w:tcPr>
          <w:p>
            <w:r>
              <w:t>Amounts</w:t>
            </w:r>
          </w:p>
        </w:tc>
        <w:tc>
          <w:tcPr>
            <w:tcW w:type="dxa" w:w="3360"/>
          </w:tcPr>
          <w:p>
            <w:r>
              <w:t>Consistent thousands separators; avoid unnecessary precision.</w:t>
            </w:r>
          </w:p>
        </w:tc>
        <w:tc>
          <w:tcPr>
            <w:tcW w:type="dxa" w:w="3360"/>
          </w:tcPr>
          <w:p>
            <w:r>
              <w:t>Confirmed</w:t>
            </w:r>
          </w:p>
        </w:tc>
      </w:tr>
      <w:tr>
        <w:tc>
          <w:tcPr>
            <w:tcW w:type="dxa" w:w="3360"/>
          </w:tcPr>
          <w:p>
            <w:r>
              <w:t>Percentages</w:t>
            </w:r>
          </w:p>
        </w:tc>
        <w:tc>
          <w:tcPr>
            <w:tcW w:type="dxa" w:w="3360"/>
          </w:tcPr>
          <w:p>
            <w:r>
              <w:t>One decimal place unless otherwise needed.</w:t>
            </w:r>
          </w:p>
        </w:tc>
        <w:tc>
          <w:tcPr>
            <w:tcW w:type="dxa" w:w="3360"/>
          </w:tcPr>
          <w:p>
            <w:r>
              <w:t>Confirmed</w:t>
            </w:r>
          </w:p>
        </w:tc>
      </w:tr>
      <w:tr>
        <w:tc>
          <w:tcPr>
            <w:tcW w:type="dxa" w:w="3360"/>
          </w:tcPr>
          <w:p>
            <w:r>
              <w:t>Dates</w:t>
            </w:r>
          </w:p>
        </w:tc>
        <w:tc>
          <w:tcPr>
            <w:tcW w:type="dxa" w:w="3360"/>
          </w:tcPr>
          <w:p>
            <w:r>
              <w:t>Month-year labels for monthly trends; sort by date key.</w:t>
            </w:r>
          </w:p>
        </w:tc>
        <w:tc>
          <w:tcPr>
            <w:tcW w:type="dxa" w:w="3360"/>
          </w:tcPr>
          <w:p>
            <w:r>
              <w:t>Confirmed</w:t>
            </w:r>
          </w:p>
        </w:tc>
      </w:tr>
      <w:tr>
        <w:tc>
          <w:tcPr>
            <w:tcW w:type="dxa" w:w="3360"/>
          </w:tcPr>
          <w:p>
            <w:r>
              <w:t>Negative profit</w:t>
            </w:r>
          </w:p>
        </w:tc>
        <w:tc>
          <w:tcPr>
            <w:tcW w:type="dxa" w:w="3360"/>
          </w:tcPr>
          <w:p>
            <w:r>
              <w:t>Display the negative sign clearly.</w:t>
            </w:r>
          </w:p>
        </w:tc>
        <w:tc>
          <w:tcPr>
            <w:tcW w:type="dxa" w:w="3360"/>
          </w:tcPr>
          <w:p>
            <w:r>
              <w:t>Confirmed</w:t>
            </w:r>
          </w:p>
        </w:tc>
      </w:tr>
    </w:tbl>
    <w:p>
      <w:pPr>
        <w:pStyle w:val="Heading1"/>
      </w:pPr>
      <w:r>
        <w:t>Acceptance checks</w:t>
      </w:r>
    </w:p>
    <w:p>
      <w:pPr>
        <w:pStyle w:val="ListBullet"/>
      </w:pPr>
      <w:r>
        <w:t>Acceptance check: every implemented KPI matches its documented project definition and reconciles to an independent SQL result.</w:t>
      </w:r>
    </w:p>
    <w:p>
      <w:pPr>
        <w:pStyle w:val="ListBullet"/>
      </w:pPr>
      <w:r>
        <w:t>Slicers affect only intended visuals.</w:t>
      </w:r>
    </w:p>
    <w:p>
      <w:pPr>
        <w:pStyle w:val="ListBullet"/>
      </w:pPr>
      <w:r>
        <w:t>Header- and line-level amounts are not double counted.</w:t>
      </w:r>
    </w:p>
    <w:p>
      <w:pPr>
        <w:pStyle w:val="ListBullet"/>
      </w:pPr>
      <w:r>
        <w:t>Totals reconcile to validated PostgreSQL data within scope.</w:t>
      </w:r>
    </w:p>
    <w:p>
      <w:pPr>
        <w:pStyle w:val="ListBullet"/>
      </w:pPr>
      <w:r>
        <w:t>Known exceptions and unavailable measures are disclosed.</w:t>
      </w:r>
    </w:p>
    <w:p>
      <w:pPr>
        <w:pStyle w:val="ListBullet"/>
      </w:pPr>
      <w:r>
        <w:t>Titles, units, labels and tooltips are understandable.</w:t>
      </w:r>
    </w:p>
    <w:p>
      <w:r>
        <w:rPr>
          <w:b/>
        </w:rPr>
        <w:t xml:space="preserve">Formatting decisions confirmed by project owner: </w:t>
      </w:r>
      <w:r>
        <w:t>AED currency; thousands separators for amounts; one decimal place for percentages; month-year labels sorted by date key; negative profit displayed with a minus sign.</w:t>
      </w:r>
    </w:p>
    <w:p>
      <w:pPr>
        <w:pStyle w:val="Heading1"/>
      </w:pPr>
      <w:r>
        <w:t>Business-rule implementation baseline</w:t>
      </w:r>
    </w:p>
    <w:p>
      <w:r>
        <w:t>Implement the following recorded project conventions consistently in the model and measures: Completed orders only for Total Sales, Total Orders and AOV; Completed returns only for realized return KPIs, with Approved and Pending shown separately; available_stock for reorder exceptions; and Estimated Gross Profit using current product costs, clearly labelled as estimated. Use order_date for sales time intelligence. Validate sales amount basis/grain and the Completion Rate denominator before implementing those measures. Do not infer sales channel or present inventory movement trends while the documented movement-load exception remains unresolved.</w:t>
      </w:r>
    </w:p>
    <w:p>
      <w:r>
        <w:t>Phase 6 documentation is closed after the final consistency review. Power BI implementation and acceptance testing have not started.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