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Relationship Id="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Registro técnico para verificação de exportação</w:t>
      </w:r>
    </w:p>
    <w:p>
      <w:pPr>
        <w:pStyle w:val="Subtitle"/>
      </w:pPr>
      <w:r>
        <w:t xml:space="preserve">NR-33 / NR-35 | Revisão 2 | rascunho</w:t>
      </w:r>
    </w:p>
    <w:p>
      <w:pPr>
        <w:pStyle w:val="Normal"/>
      </w:pPr>
      <w:r>
        <w:t xml:space="preserve">Cópia derivada de consulta. Não constitui emissão, aprovação, assinatura ou autorização de entrada.</w:t>
      </w:r>
    </w:p>
    <w:p>
      <w:pPr>
        <w:pStyle w:val="Metadata"/>
      </w:pPr>
      <w:r>
        <w:t xml:space="preserve">Documento c7330000-0000-4000-8000-000000000001 | revisão c7330000-0000-4000-8000-000000000002 | versão de dados 3</w:t>
      </w:r>
    </w:p>
    <w:p>
      <w:pPr>
        <w:pStyle w:val="Heading1"/>
      </w:pPr>
      <w:r>
        <w:t xml:space="preserve">Contexto e rastreabilidade</w:t>
      </w:r>
    </w:p>
    <w:p>
      <w:pPr>
        <w:pStyle w:val="Normal"/>
      </w:pPr>
      <w:r>
        <w:t xml:space="preserve">Este cenário isolado verifica texto em português, unidades m³/h e conteúdo estruturado. Todos os registros abaixo pertencem exclusivamente à validação do exportador.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13"/>
        <w:gridCol w:w="6848"/>
        <w:gridCol w:w="1598"/>
      </w:tblGrid>
      <w:tr>
        <w:trPr>
          <w:tblHeader/>
          <w:cantSplit/>
        </w:trPr>
        <w:tc>
          <w:tcPr>
            <w:tcW w:w="913" w:type="dxa"/>
            <w:vAlign w:val="center"/>
            <w:shd w:fill="EEF2F1"/>
          </w:tcPr>
          <w:p>
            <w:pPr>
              <w:pStyle w:val="TableHeader"/>
            </w:pPr>
            <w:r>
              <w:t xml:space="preserve">Código</w:t>
            </w:r>
          </w:p>
        </w:tc>
        <w:tc>
          <w:tcPr>
            <w:tcW w:w="6848" w:type="dxa"/>
            <w:vAlign w:val="center"/>
            <w:shd w:fill="EEF2F1"/>
          </w:tcPr>
          <w:p>
            <w:pPr>
              <w:pStyle w:val="TableHeader"/>
            </w:pPr>
            <w:r>
              <w:t xml:space="preserve">Descrição técnica</w:t>
            </w:r>
          </w:p>
        </w:tc>
        <w:tc>
          <w:tcPr>
            <w:tcW w:w="1598" w:type="dxa"/>
            <w:vAlign w:val="center"/>
            <w:shd w:fill="EEF2F1"/>
          </w:tcPr>
          <w:p>
            <w:pPr>
              <w:pStyle w:val="TableHeader"/>
            </w:pPr>
            <w:r>
              <w:t xml:space="preserve">Estado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001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002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003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004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005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006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007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008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8: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009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9: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010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10: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011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11: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012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12: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013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13: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014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14: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015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15: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016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16: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017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17: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018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18: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019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19: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020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20: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021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21: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022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22: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023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23: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024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24: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025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25: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026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26: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027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27: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028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28: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029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29: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030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30: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031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31: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032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32: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033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33: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034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34: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035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35: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036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36: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037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37: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038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38: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039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39: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040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40: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041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41: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042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42: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043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43: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044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44: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045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45: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046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46: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047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47: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048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48: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049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49: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050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50: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051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51: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052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52: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053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53: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054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54: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055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55: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056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56: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057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57: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058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58: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059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59: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060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60: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061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61: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062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62: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063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63: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064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64: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065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65: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066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66: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067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67: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068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68: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069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69: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070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70: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071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71: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072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72: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073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73: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074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74: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075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75: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076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76: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077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77: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078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78: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079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79: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Em revisão</w:t>
            </w:r>
          </w:p>
        </w:tc>
      </w:tr>
      <w:tr>
        <w:trPr>
          <w:cantSplit/>
        </w:trPr>
        <w:tc>
          <w:tcPr>
            <w:tcW w:w="913" w:type="dxa"/>
            <w:vAlign w:val="center"/>
          </w:tcPr>
          <w:p>
            <w:pPr>
              <w:pStyle w:val="TableText"/>
            </w:pPr>
            <w:r>
              <w:t xml:space="preserve">080</w:t>
            </w:r>
          </w:p>
        </w:tc>
        <w:tc>
          <w:tcPr>
            <w:tcW w:w="6848" w:type="dxa"/>
            <w:vAlign w:val="center"/>
          </w:tcPr>
          <w:p>
            <w:pPr>
              <w:pStyle w:val="TableText"/>
            </w:pPr>
            <w:r>
              <w:t xml:space="preserve">Registro 80: conferir os dados informados e a evidência correspondente sem inferir conformidade.</w:t>
            </w:r>
          </w:p>
        </w:tc>
        <w:tc>
          <w:tcPr>
            <w:tcW w:w="1598" w:type="dxa"/>
            <w:vAlign w:val="center"/>
          </w:tcPr>
          <w:p>
            <w:pPr>
              <w:pStyle w:val="TableText"/>
            </w:pPr>
            <w:r>
              <w:t xml:space="preserve">Não verificado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MARCADOR FINAL DE INTEGRIDADE DOCUMENTAL</w:t>
      </w:r>
    </w:p>
    <w:sectPr>
      <w:headerReference w:type="default" r:id="header"/>
      <w:footerReference w:type="default" r:id="footer"/>
      <w:pgSz w:w="11906" w:h="16838"/>
      <w:pgMar w:top="1134" w:right="1273" w:bottom="1134" w:left="1273" w:header="567" w:footer="567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Metadata"/>
    </w:pPr>
    <w:r>
      <w:t xml:space="preserve">Derivado de consulta | Revisão 2 | Página </w:t>
    </w:r>
    <w:fldSimple w:instr="PAGE"/>
    <w:r>
      <w:t xml:space="preserve"> de </w:t>
    </w:r>
    <w:fldSimple w:instr="NUMPAGES"/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Metadata"/>
    </w:pPr>
    <w:r>
      <w:t xml:space="preserve">NEXUS   Acervo técnico NR-33 e NR-35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/>
        <w:color w:val="000000"/>
        <w:sz w:val="22"/>
      </w:rPr>
    </w:rPrDefault>
    <w:pPrDefault>
      <w:pPr>
        <w:spacing w:after="140" w:line="276" w:lineRule="auto"/>
        <w:widowControl/>
      </w:pPr>
    </w:pPrDefault>
  </w:docDefaults>
  <w:style w:type="paragraph" w:styleId="Normal">
    <w:name w:val="Normal"/>
    <w:pPr/>
    <w:rPr>
      <w:color w:val="000000"/>
      <w:sz w:val="22"/>
    </w:rPr>
  </w:style>
  <w:style w:type="paragraph" w:styleId="Title">
    <w:name w:val="Title"/>
    <w:pPr/>
    <w:rPr>
      <w:color w:val="000000"/>
      <w:sz w:val="36"/>
      <w:b/>
    </w:rPr>
  </w:style>
  <w:style w:type="paragraph" w:styleId="Subtitle">
    <w:name w:val="Subtitle"/>
    <w:pPr/>
    <w:rPr>
      <w:color w:val="000000"/>
      <w:sz w:val="22"/>
    </w:rPr>
  </w:style>
  <w:style w:type="paragraph" w:styleId="Metadata">
    <w:name w:val="Metadata"/>
    <w:pPr/>
    <w:rPr>
      <w:color w:val="000000"/>
      <w:sz w:val="17"/>
    </w:rPr>
  </w:style>
  <w:style w:type="paragraph" w:styleId="Caption">
    <w:name w:val="Caption"/>
    <w:pPr/>
    <w:rPr>
      <w:color w:val="000000"/>
      <w:sz w:val="19"/>
    </w:rPr>
  </w:style>
  <w:style w:type="paragraph" w:styleId="TableText">
    <w:name w:val="TableText"/>
    <w:pPr/>
    <w:rPr>
      <w:color w:val="000000"/>
      <w:sz w:val="20"/>
    </w:rPr>
  </w:style>
  <w:style w:type="paragraph" w:styleId="TableHeader">
    <w:name w:val="TableHeader"/>
    <w:pPr/>
    <w:rPr>
      <w:color w:val="000000"/>
      <w:sz w:val="20"/>
      <w:b/>
    </w:rPr>
  </w:style>
  <w:style w:type="paragraph" w:styleId="Heading1">
    <w:name w:val="Heading1"/>
    <w:pPr>
      <w:keepNext/>
      <w:spacing w:before="240" w:after="120"/>
    </w:pPr>
    <w:rPr>
      <w:color w:val="000000"/>
      <w:sz w:val="28"/>
      <w:b/>
    </w:rPr>
  </w:style>
  <w:style w:type="paragraph" w:styleId="Heading2">
    <w:name w:val="Heading2"/>
    <w:pPr>
      <w:keepNext/>
      <w:spacing w:before="240" w:after="120"/>
    </w:pPr>
    <w:rPr>
      <w:color w:val="000000"/>
      <w:sz w:val="24"/>
      <w:b/>
    </w:rPr>
  </w:style>
  <w:style w:type="paragraph" w:styleId="Heading3">
    <w:name w:val="Heading3"/>
    <w:pPr>
      <w:keepNext/>
      <w:spacing w:before="240" w:after="120"/>
    </w:pPr>
    <w:rPr>
      <w:color w:val="000000"/>
      <w:sz w:val="24"/>
      <w:b/>
    </w:rPr>
  </w:style>
  <w:style w:type="paragraph" w:styleId="Heading4">
    <w:name w:val="Heading4"/>
    <w:pPr>
      <w:keepNext/>
      <w:spacing w:before="240" w:after="120"/>
    </w:pPr>
    <w:rPr>
      <w:color w:val="000000"/>
      <w:sz w:val="24"/>
      <w:b/>
    </w:rPr>
  </w:style>
  <w:style w:type="paragraph" w:styleId="Heading5">
    <w:name w:val="Heading5"/>
    <w:pPr>
      <w:keepNext/>
      <w:spacing w:before="240" w:after="120"/>
    </w:pPr>
    <w:rPr>
      <w:color w:val="000000"/>
      <w:sz w:val="24"/>
      <w:b/>
    </w:rPr>
  </w:style>
  <w:style w:type="paragraph" w:styleId="Heading6">
    <w:name w:val="Heading6"/>
    <w:pPr>
      <w:keepNext/>
      <w:spacing w:before="240" w:after="120"/>
    </w:pPr>
    <w:rPr>
      <w:color w:val="000000"/>
      <w:sz w:val="24"/>
      <w:b/>
    </w:rPr>
  </w:style>
</w:styles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Registro técnico para verificação de exportação</dc:title>
  <dc:creator>Nexus</dc:creator>
  <dc:description>Derivado de consulta; documento c7330000-0000-4000-8000-000000000001; revisão c7330000-0000-4000-8000-000000000002; dados v3; render nr-documento-1.0.0</dc:description>
</cp:coreProperties>
</file>