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103.png" ContentType="image/png"/>
  <Override PartName="/word/media/rId31.png" ContentType="image/png"/>
  <Override PartName="/word/media/rId34.png" ContentType="image/png"/>
  <Override PartName="/word/media/rId39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Analise</w:t>
      </w:r>
    </w:p>
    <w:p>
      <w:pPr>
        <w:pStyle w:val="Author"/>
      </w:pPr>
      <w:r>
        <w:t xml:space="preserve">Leonardo</w:t>
      </w:r>
      <w:r>
        <w:t xml:space="preserve"> </w:t>
      </w:r>
      <w:r>
        <w:t xml:space="preserve">Camilo</w:t>
      </w:r>
    </w:p>
    <w:bookmarkStart w:id="20" w:name="X2c1b982dc504355d8892851934591d892983538"/>
    <w:p>
      <w:pPr>
        <w:pStyle w:val="Heading1"/>
      </w:pPr>
      <w:r>
        <w:t xml:space="preserve">Análise Detalhada: Analistas vs Pareceristas - Lei do Bem 2021</w:t>
      </w:r>
    </w:p>
    <w:p>
      <w:pPr>
        <w:pStyle w:val="FirstParagraph"/>
      </w:pPr>
      <w:r>
        <w:t xml:space="preserve">Este notebook analisa a relação entre as decisões dos analistas (fase DO)</w:t>
      </w:r>
      <w:r>
        <w:t xml:space="preserve"> </w:t>
      </w:r>
      <w:r>
        <w:t xml:space="preserve">e dos pareceristas (fase Parecer) nos projetos da Lei do Bem.</w:t>
      </w:r>
    </w:p>
    <w:p>
      <w:pPr>
        <w:pStyle w:val="BodyText"/>
      </w:pPr>
      <w:r>
        <w:t xml:space="preserve">Perguntas a serem respondidas:</w:t>
      </w:r>
      <w:r>
        <w:t xml:space="preserve"> </w:t>
      </w:r>
      <w:r>
        <w:t xml:space="preserve">1. Taxa de aprovação por analista</w:t>
      </w:r>
      <w:r>
        <w:t xml:space="preserve"> </w:t>
      </w:r>
      <w:r>
        <w:t xml:space="preserve">2. Taxa de concordância DO → Parecer</w:t>
      </w:r>
      <w:r>
        <w:t xml:space="preserve"> </w:t>
      </w:r>
      <w:r>
        <w:t xml:space="preserve">3. Reversões de decisão (Não Recomendado → Recomendado)</w:t>
      </w:r>
      <w:r>
        <w:t xml:space="preserve"> </w:t>
      </w:r>
      <w:r>
        <w:t xml:space="preserve">4. Dispersão de áreas por analista</w:t>
      </w:r>
      <w:r>
        <w:t xml:space="preserve"> </w:t>
      </w:r>
      <w:r>
        <w:t xml:space="preserve">5. Fichas individuais dos top 15 analistas</w:t>
      </w:r>
      <w:r>
        <w:t xml:space="preserve"> </w:t>
      </w:r>
      <w:r>
        <w:t xml:space="preserve">6. Modelo preditivo de aprovação no Parecer</w:t>
      </w:r>
    </w:p>
    <w:bookmarkEnd w:id="20"/>
    <w:bookmarkStart w:id="115" w:name="Xfdd2cd7e37c2bcef183f056edc2d1fe426ade75"/>
    <w:p>
      <w:pPr>
        <w:pStyle w:val="Heading1"/>
      </w:pPr>
      <w:r>
        <w:t xml:space="preserve">Análise de Decisões no Processo da Lei do Bem (2021): Analistas e Pareceristas</w:t>
      </w:r>
    </w:p>
    <w:bookmarkStart w:id="21" w:name="introdução"/>
    <w:p>
      <w:pPr>
        <w:pStyle w:val="Heading2"/>
      </w:pPr>
      <w:r>
        <w:t xml:space="preserve">1. Introdução</w:t>
      </w:r>
    </w:p>
    <w:p>
      <w:pPr>
        <w:pStyle w:val="FirstParagraph"/>
      </w:pPr>
      <w:r>
        <w:t xml:space="preserve">Este relatório apresenta uma análise quantitativa e qualitativa aprofundada do processo de avaliação de projetos submetidos à Lei do Bem, um dos principais mecanismos de fomento à Pesquisa, Desenvolvimento e Inovação (P&amp;D&amp;I) no Brasil. O objetivo central é investigar a consistência, a imparcialidade e os padrões de decisão entre as duas principais fases de avaliação: a análise interna realizada pelo corpo técnico do Ministério (fase DO) e a avaliação externa por pesquisadores ad hoc (fase Parecer).</w:t>
      </w:r>
    </w:p>
    <w:p>
      <w:pPr>
        <w:pStyle w:val="BodyText"/>
      </w:pPr>
      <w:r>
        <w:t xml:space="preserve">A partir de um conjunto de dados consolidado que abrange 75.816 projetos distribuídos ao longo de seis anos consecutivos (2018-2023), com 68.475 projetos possuindo avaliações completas em ambas as fases, este estudo busca responder a questões críticas sobre o fluxo de análise. O período analisado revela uma tendência crescente no volume de projetos submetidos, partindo de 10.876 projetos em 2018 e alcançando 14.128 projetos em 2023, demonstrando o crescimento da relevância deste instrumento de política pública para o ecossistema nacional de inovação.</w:t>
      </w:r>
    </w:p>
    <w:p>
      <w:pPr>
        <w:pStyle w:val="BodyText"/>
      </w:pPr>
      <w:r>
        <w:t xml:space="preserve">A investigação empírica examina as taxas de concordância e discordância entre avaliadores, identifica os setores produtivos com maior e menor alinhamento entre as decisões, e explora as características textuais dos projetos para extrair insights sobre os fatores que influenciam as decisões. Por meio de uma abordagem analítica baseada em quadrantes de decisão, o estudo categoriza os projetos em quatro grupos distintos: concordância positiva (ambos recomendam), concordância negativa (ambos não recomendam), e duas modalidades de discordância onde há divergência entre os avaliadores.</w:t>
      </w:r>
    </w:p>
    <w:p>
      <w:pPr>
        <w:pStyle w:val="BodyText"/>
      </w:pPr>
      <w:r>
        <w:t xml:space="preserve">Os resultados revelam uma taxa de concordância geral de 83,9%, com 53,6% dos projetos sendo recomendados por ambos os avaliadores e 30,4% sendo rejeitados por ambos. A análise setorial demonstra variações significativas, com o setor de Química e Farmácia apresentando a maior concordância (91,2%) e TIC mostrando maior equilíbrio entre aprovações e rejeições. As discordâncias, embora representem apenas 16,1% do total, revelam padrões interessantes de rigor diferencial entre avaliadores, com ligeira tendência de maior rigor por parte dos pesquisadores ad hoc em relação ao Ministério.</w:t>
      </w:r>
    </w:p>
    <w:p>
      <w:pPr>
        <w:pStyle w:val="BodyText"/>
      </w:pPr>
      <w:r>
        <w:t xml:space="preserve">O propósito final desta análise é fornecer um diagnóstico baseado em evidências que possa subsidiar a otimização dos processos, a padronização de critérios e a capacitação contínua dos avaliadores, visando aumentar a eficiência, a isonomia e a previsibilidade na concessão dos incentivos fiscais da Lei do Bem. As recomendações propostas incluem a harmonização de critérios por setor, a implementação de sistemas de dupla checagem para projetos em áreas de alta discordância, e o desenvolvimento de programas de capacitação continuada adaptados às especificidades setoriais.</w:t>
      </w:r>
    </w:p>
    <w:bookmarkEnd w:id="21"/>
    <w:bookmarkStart w:id="30" w:name="metodologia"/>
    <w:p>
      <w:pPr>
        <w:pStyle w:val="Heading2"/>
      </w:pPr>
      <w:r>
        <w:t xml:space="preserve">2. Metodologia</w:t>
      </w:r>
    </w:p>
    <w:p>
      <w:pPr>
        <w:pStyle w:val="FirstParagraph"/>
      </w:pPr>
      <w:r>
        <w:t xml:space="preserve">A análise foi conduzida utilizando uma abordagem metodológica multidisciplinar que combina estatística descritiva, análise de dados categóricos, processamento de linguagem natural (PLN) e visualização de dados para investigar os padrões de decisão no processo de avaliação da Lei do Bem. A estratégia analítica adotada privilegiou a combinação de técnicas quantitativas e qualitativas para fornecer uma compreensão abrangente dos mecanismos de concordância e discordância entre os diferentes grupos de avaliadores.</w:t>
      </w:r>
    </w:p>
    <w:bookmarkStart w:id="22" w:name="fonte-e-estrutura-dos-dados"/>
    <w:p>
      <w:pPr>
        <w:pStyle w:val="Heading3"/>
      </w:pPr>
      <w:r>
        <w:t xml:space="preserve">2.1 Fonte e Estrutura dos Dados</w:t>
      </w:r>
    </w:p>
    <w:p>
      <w:pPr>
        <w:pStyle w:val="FirstParagraph"/>
      </w:pPr>
      <w:r>
        <w:t xml:space="preserve">O estudo baseou-se em um banco de dados consolidado contendo informações detalhadas sobre 75.816 projetos submetidos à Lei do Bem no período de 2018 a 2023, totalizando 229 variáveis originais. O dataset integrou múltiplas fontes de informação para construir um panorama completo do processo avaliativo. Os pareceres técnicos emitidos pelo Ministério da Ciência, Tecnologia e Inovação na fase DO constituíram a primeira fonte primária, complementados pelas avaliações externas realizadas por pesquisadores ad hoc na fase Parecer. Adicionalmente, foram incorporados metadados dos projetos abrangendo classificação setorial, informações das empresas proponentes e dados financeiros, bem como campos textuais descritivos detalhados incluindo descrição do projeto, elemento tecnológico, desafio tecnológico e metodologia utilizada.</w:t>
      </w:r>
    </w:p>
    <w:bookmarkEnd w:id="22"/>
    <w:bookmarkStart w:id="23" w:name="seleção-e-preparação-das-variáveis"/>
    <w:p>
      <w:pPr>
        <w:pStyle w:val="Heading3"/>
      </w:pPr>
      <w:r>
        <w:t xml:space="preserve">2.2 Seleção e Preparação das Variáveis</w:t>
      </w:r>
    </w:p>
    <w:p>
      <w:pPr>
        <w:pStyle w:val="FirstParagraph"/>
      </w:pPr>
      <w:r>
        <w:t xml:space="preserve">Das 229 variáveis originais, foram criteriosamente selecionadas 18 variáveis-chave organizadas em cinco categorias analíticas funcionais. O grupo de identificação compreendeu seis variáveis englobando dados da empresa, CNPJ, atividade econômica e identificadores únicos do sistema. As variáveis de projeto totalizaram sete elementos incluindo nome, descrição, classificação setorial, palavras-chave e especificações técnicas detalhadas. A representação do Ministério foi capturada através de duas variáveis específicas abrangendo identificação do analista responsável e tipo de avaliação aplicada. A perspectiva do pesquisador ad hoc foi representada por uma variável central indicando o tipo de avaliação emitida. Finalmente, duas variáveis de valores financeiros capturaram tanto os montantes declarados quanto os valores constantes no parecer final.</w:t>
      </w:r>
    </w:p>
    <w:bookmarkEnd w:id="23"/>
    <w:bookmarkStart w:id="24" w:name="processamento-de-linguagem-natural"/>
    <w:p>
      <w:pPr>
        <w:pStyle w:val="Heading3"/>
      </w:pPr>
      <w:r>
        <w:t xml:space="preserve">2.3 Processamento de Linguagem Natural</w:t>
      </w:r>
    </w:p>
    <w:p>
      <w:pPr>
        <w:pStyle w:val="FirstParagraph"/>
      </w:pPr>
      <w:r>
        <w:t xml:space="preserve">Um dos pilares metodológicos centrais constituiu-se no processamento sistemático dos campos textuais utilizando a biblioteca NLTK (Natural Language Toolkit) especificamente adaptada para análise de textos em português. Esta etapa metodológica revelou-se fundamental para extrair insights qualitativos dos conteúdos descritivos dos projetos. O processo iniciou-se com o desenvolvimento de um conjunto customizado de 255 stopwords, resultado da combinação criteriosa entre 207 palavras padrão do corpus NLTK português e 55 termos específicos do domínio da Lei do Bem, incluindo vocábulos como</w:t>
      </w:r>
      <w:r>
        <w:t xml:space="preserve"> </w:t>
      </w:r>
      <w:r>
        <w:t xml:space="preserve">“</w:t>
      </w:r>
      <w:r>
        <w:t xml:space="preserve">projeto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desenvolvimento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inovação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tecnológica</w:t>
      </w:r>
      <w:r>
        <w:t xml:space="preserve">”</w:t>
      </w:r>
      <w:r>
        <w:t xml:space="preserve"> </w:t>
      </w:r>
      <w:r>
        <w:t xml:space="preserve">que, embora relevantes no contexto geral, não contribuíam para a diferenciação analítica entre projetos.</w:t>
      </w:r>
    </w:p>
    <w:p>
      <w:pPr>
        <w:pStyle w:val="BodyText"/>
      </w:pPr>
      <w:r>
        <w:t xml:space="preserve">A aplicação de técnicas avançadas de limpeza e normalização textual resultou em uma redução média substancial de 44% no volume textual, preservando exclusivamente os termos mais relevantes para análise. Especificamente, a descrição do projeto apresentou redução de 44,5%, passando de 268 para 147 palavras médias por projeto. O campo elemento tecnológico demonstrou comportamento similar com redução de 44,7%, evoluindo de 306 para 169 palavras médias. O desafio tecnológico alcançou redução de 44,6%, transitando de 293 para 162 palavras médias, enquanto a metodologia utilizada registrou redução de 43,5%, de 287 para 160 palavras médias por projeto.</w:t>
      </w:r>
    </w:p>
    <w:bookmarkEnd w:id="24"/>
    <w:bookmarkStart w:id="25" w:name="análise-de-quadrantes-de-decisão"/>
    <w:p>
      <w:pPr>
        <w:pStyle w:val="Heading3"/>
      </w:pPr>
      <w:r>
        <w:t xml:space="preserve">2.4 Análise de Quadrantes de Decisão</w:t>
      </w:r>
    </w:p>
    <w:p>
      <w:pPr>
        <w:pStyle w:val="FirstParagraph"/>
      </w:pPr>
      <w:r>
        <w:t xml:space="preserve">A metodologia central fundamentou-se na inovadora classificação em quadrantes de decisões, categorizando sistematicamente cada projeto segundo a combinação específica das avaliações emitidas pelos dois grupos distintos de avaliadores. Esta abordagem analítica permitiu uma compreensão granular dos padrões de concordância e discordância no processo avaliativo. O Quadrante 1 (S,S) representou a concordância positiva onde ambos os grupos recomendam o projeto. O Quadrante 2 (S,N) capturou situações de discordância onde o pesquisador recomenda mas o ministério não recomenda. O Quadrante 3 (N,S) identificou o padrão inverso de discordância onde o pesquisador não recomenda mas o ministério recomenda. Finalmente, o Quadrante 4 (N,N) consolidou os casos de concordância negativa onde ambos os grupos não recomendam o projeto.</w:t>
      </w:r>
    </w:p>
    <w:bookmarkEnd w:id="25"/>
    <w:bookmarkStart w:id="26" w:name="análise-setorial-e-temporal"/>
    <w:p>
      <w:pPr>
        <w:pStyle w:val="Heading3"/>
      </w:pPr>
      <w:r>
        <w:t xml:space="preserve">2.5 Análise Setorial e Temporal</w:t>
      </w:r>
    </w:p>
    <w:p>
      <w:pPr>
        <w:pStyle w:val="FirstParagraph"/>
      </w:pPr>
      <w:r>
        <w:t xml:space="preserve">A investigação incorporou duas dimensões analíticas complementares e interdependentes para capturar a complexidade temporal e setorial do processo avaliativo. A dimensão temporal abarcou a análise sistemática da distribuição de projetos por ano-base ao longo do período 2018-2023, identificando tendências de crescimento no volume de submissões e padrões de completude das avaliações ao longo do tempo. Esta análise revelou não apenas o crescimento quantitativo do programa, mas também variações na eficiência do processo avaliativo entre diferentes períodos.</w:t>
      </w:r>
    </w:p>
    <w:p>
      <w:pPr>
        <w:pStyle w:val="BodyText"/>
      </w:pPr>
      <w:r>
        <w:t xml:space="preserve">A dimensão setorial envolveu a classificação detalhada dos projetos em sete setores principais estratégicos: TIC, Química e Farmácia, Mecânica e Transporte, Agroindústria e Alimentos, Transversal, Eletroeletrônica, e Metalurgia e Mineração. Esta segmentação permitiu investigar variações significativas nos padrões de concordância e discordância entre diferentes domínios tecnológicos e econômicos, revelando especificidades setoriais que impactam o processo de tomada de decisão dos avaliadores.</w:t>
      </w:r>
    </w:p>
    <w:bookmarkEnd w:id="26"/>
    <w:bookmarkStart w:id="27" w:name="técnicas-estatísticas-e-visualização"/>
    <w:p>
      <w:pPr>
        <w:pStyle w:val="Heading3"/>
      </w:pPr>
      <w:r>
        <w:t xml:space="preserve">2.6 Técnicas Estatísticas e Visualização</w:t>
      </w:r>
    </w:p>
    <w:p>
      <w:pPr>
        <w:pStyle w:val="FirstParagraph"/>
      </w:pPr>
      <w:r>
        <w:t xml:space="preserve">O arsenal metodológico incorporou um conjunto abrangente de técnicas estatísticas e de visualização para maximizar a extração de insights dos dados. A análise de contingência foi empregada sistematicamente para quantificar com precisão as taxas de concordância e discordância entre os grupos de avaliadores, fornecendo base quantitativa sólida para as interpretações subsequentes. A análise de dispersão permitiu examinar detalhadamente a distribuição de projetos entre diferentes setores e avaliadores, identificando concentrações e padrões de especialização que influenciam o processo decisório.</w:t>
      </w:r>
    </w:p>
    <w:p>
      <w:pPr>
        <w:pStyle w:val="BodyText"/>
      </w:pPr>
      <w:r>
        <w:t xml:space="preserve">A estatística descritiva foi amplamente utilizada para caracterizar padrões de aprovação através das dimensões temporal e setorial, estabelecendo benchmarks e identificando outliers significativos. As técnicas de visualização avançada incluíram desenvolvimento de heatmaps sofisticados, gráficos de quadrantes inovadores, diagramas de dispersão multidimensionais e mapas de calor interpretativos, todos especificamente desenhados para facilitar a identificação de padrões complexos e comunicar efetivamente os resultados para diferentes audiências técnicas e gerenciais.</w:t>
      </w:r>
    </w:p>
    <w:bookmarkEnd w:id="27"/>
    <w:bookmarkStart w:id="28" w:name="critérios-de-qualidade-e-validação"/>
    <w:p>
      <w:pPr>
        <w:pStyle w:val="Heading3"/>
      </w:pPr>
      <w:r>
        <w:t xml:space="preserve">2.7 Critérios de Qualidade e Validação</w:t>
      </w:r>
    </w:p>
    <w:p>
      <w:pPr>
        <w:pStyle w:val="FirstParagraph"/>
      </w:pPr>
      <w:r>
        <w:t xml:space="preserve">Para assegurar a robustez metodológica e a confiabilidade dos resultados, foram implementados critérios rigorosos de qualidade e procedimentos de validação múltipla. Os filtros de qualidade incluíram a exclusão sistemática de registros com dados inconsistentes ou incompletos nas variáveis-chave, garantindo que apenas informações íntegras contribuíssem para as análises finais. A padronização de categorias envolveu a uniformização cuidadosa das classificações de decisão para eliminar ambiguidades interpretativas que poderiam comprometer a validade dos resultados.</w:t>
      </w:r>
    </w:p>
    <w:p>
      <w:pPr>
        <w:pStyle w:val="BodyText"/>
      </w:pPr>
      <w:r>
        <w:t xml:space="preserve">A validação cruzada foi implementada através da verificação da consistência dos resultados mediante múltiplas abordagens analíticas independentes, confirmando a estabilidade dos padrões identificados. Adicionalmente, foi conduzida análise de sensibilidade abrangente para testar a estabilidade dos resultados através de diferentes critérios de agregação setorial e temporal, assegurando que as conclusões não fossem artefatos de decisões metodológicas específicas.</w:t>
      </w:r>
    </w:p>
    <w:p>
      <w:pPr>
        <w:pStyle w:val="BodyText"/>
      </w:pPr>
      <w:r>
        <w:t xml:space="preserve">A metodologia adotada viabiliza uma análise simultânea e integrada dos aspectos quantitativos, representados por frequências, percentuais e correlações estatísticas, e qualitativos, manifestados através de padrões textuais e especificidades setoriais. Esta abordagem dual fornece uma visão abrangente e empiricamente fundamentada sobre a dinâmica decisória complexa inerente ao processo de avaliação da Lei do Bem, estabelecendo base sólida para recomendações de política pública baseadas em evidências.</w:t>
      </w:r>
    </w:p>
    <w:bookmarkEnd w:id="28"/>
    <w:bookmarkStart w:id="29" w:name="Xaebd9083aab4546e36af349976a7bb0ab0fb15c"/>
    <w:p>
      <w:pPr>
        <w:pStyle w:val="Heading3"/>
      </w:pPr>
      <w:r>
        <w:t xml:space="preserve">Análise de Analistas vs Pareceristas - Lei do Bem</w:t>
      </w:r>
    </w:p>
    <w:p>
      <w:pPr>
        <w:pStyle w:val="FirstParagraph"/>
      </w:pPr>
      <w:r>
        <w:rPr>
          <w:b/>
          <w:bCs/>
        </w:rPr>
        <w:t xml:space="preserve">Data de Análise:</w:t>
      </w:r>
      <w:r>
        <w:t xml:space="preserve"> </w:t>
      </w:r>
      <w:r>
        <w:t xml:space="preserve">22/07/2025</w:t>
      </w:r>
    </w:p>
    <w:p>
      <w:pPr>
        <w:pStyle w:val="BodyText"/>
      </w:pPr>
      <w:r>
        <w:rPr>
          <w:b/>
          <w:bCs/>
        </w:rPr>
        <w:t xml:space="preserve">Ano Base dos Dados:</w:t>
      </w:r>
      <w:r>
        <w:t xml:space="preserve"> </w:t>
      </w:r>
      <w:r>
        <w:t xml:space="preserve">2018 à 2023</w:t>
      </w:r>
    </w:p>
    <w:p>
      <w:pPr>
        <w:pStyle w:val="BodyText"/>
      </w:pPr>
      <w:r>
        <w:rPr>
          <w:b/>
          <w:bCs/>
        </w:rPr>
        <w:t xml:space="preserve">Total de Projetos:</w:t>
      </w:r>
      <w:r>
        <w:t xml:space="preserve"> </w:t>
      </w:r>
      <w:r>
        <w:t xml:space="preserve">68.475</w:t>
      </w:r>
    </w:p>
    <w:bookmarkEnd w:id="29"/>
    <w:bookmarkEnd w:id="30"/>
    <w:bookmarkStart w:id="37" w:name="carregamento-e-preparação-dos-dados"/>
    <w:p>
      <w:pPr>
        <w:pStyle w:val="Heading2"/>
      </w:pPr>
      <w:r>
        <w:t xml:space="preserve">1. Carregamento e Preparação dos Dados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CAPÍTULO 1: CARREGAMENTO E PREPARAÇÃO DOS DADOS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1.1 Carregamento do Dataset Principal</w:t>
      </w:r>
      <w:r>
        <w:br/>
      </w:r>
      <w:r>
        <w:br/>
      </w:r>
      <w:r>
        <w:rPr>
          <w:rStyle w:val="VerbatimChar"/>
        </w:rPr>
        <w:t xml:space="preserve">Dataset carregado com sucesso!</w:t>
      </w:r>
      <w:r>
        <w:br/>
      </w:r>
      <w:r>
        <w:rPr>
          <w:rStyle w:val="VerbatimChar"/>
        </w:rPr>
        <w:t xml:space="preserve">├── Total de projetos: 75,816</w:t>
      </w:r>
      <w:r>
        <w:br/>
      </w:r>
      <w:r>
        <w:rPr>
          <w:rStyle w:val="VerbatimChar"/>
        </w:rPr>
        <w:t xml:space="preserve">└── Total de variáveis: 229</w:t>
      </w:r>
      <w:r>
        <w:br/>
      </w:r>
      <w:r>
        <w:br/>
      </w:r>
      <w:r>
        <w:rPr>
          <w:rStyle w:val="VerbatimChar"/>
        </w:rPr>
        <w:t xml:space="preserve">1.2 Seleção de Variáveis Relevantes</w:t>
      </w:r>
      <w:r>
        <w:br/>
      </w:r>
      <w:r>
        <w:br/>
      </w:r>
      <w:r>
        <w:rPr>
          <w:rStyle w:val="VerbatimChar"/>
        </w:rPr>
        <w:t xml:space="preserve">Variáveis selecionadas por categoria:</w:t>
      </w:r>
      <w:r>
        <w:br/>
      </w:r>
      <w:r>
        <w:rPr>
          <w:rStyle w:val="VerbatimChar"/>
        </w:rPr>
        <w:t xml:space="preserve">├── Identificação: 6</w:t>
      </w:r>
      <w:r>
        <w:br/>
      </w:r>
      <w:r>
        <w:rPr>
          <w:rStyle w:val="VerbatimChar"/>
        </w:rPr>
        <w:t xml:space="preserve">├── Projeto: 7</w:t>
      </w:r>
      <w:r>
        <w:br/>
      </w:r>
      <w:r>
        <w:rPr>
          <w:rStyle w:val="VerbatimChar"/>
        </w:rPr>
        <w:t xml:space="preserve">├── Ministério: 2</w:t>
      </w:r>
      <w:r>
        <w:br/>
      </w:r>
      <w:r>
        <w:rPr>
          <w:rStyle w:val="VerbatimChar"/>
        </w:rPr>
        <w:t xml:space="preserve">├── Pesquisador: 1</w:t>
      </w:r>
      <w:r>
        <w:br/>
      </w:r>
      <w:r>
        <w:rPr>
          <w:rStyle w:val="VerbatimChar"/>
        </w:rPr>
        <w:t xml:space="preserve">└── Valores: 2</w:t>
      </w:r>
      <w:r>
        <w:br/>
      </w:r>
      <w:r>
        <w:br/>
      </w:r>
      <w:r>
        <w:rPr>
          <w:rStyle w:val="VerbatimChar"/>
        </w:rPr>
        <w:t xml:space="preserve">Total de variáveis selecionadas: 18</w:t>
      </w:r>
      <w:r>
        <w:br/>
      </w:r>
      <w:r>
        <w:br/>
      </w:r>
      <w:r>
        <w:rPr>
          <w:rStyle w:val="VerbatimChar"/>
        </w:rPr>
        <w:t xml:space="preserve">1.3 Análise Textual e Processamento de Linguagem Natural</w:t>
      </w:r>
      <w:r>
        <w:br/>
      </w:r>
      <w:r>
        <w:br/>
      </w:r>
      <w:r>
        <w:rPr>
          <w:rStyle w:val="VerbatimChar"/>
        </w:rPr>
        <w:t xml:space="preserve">Campos textuais identificados para análise: 4</w:t>
      </w:r>
      <w:r>
        <w:br/>
      </w:r>
      <w:r>
        <w:br/>
      </w:r>
      <w:r>
        <w:rPr>
          <w:rStyle w:val="VerbatimChar"/>
        </w:rPr>
        <w:t xml:space="preserve">Configurando conjunto de stopwords...</w:t>
      </w:r>
      <w:r>
        <w:br/>
      </w:r>
      <w:r>
        <w:rPr>
          <w:rStyle w:val="VerbatimChar"/>
        </w:rPr>
        <w:t xml:space="preserve">├── Stopwords NLTK português: 207</w:t>
      </w:r>
      <w:r>
        <w:br/>
      </w:r>
      <w:r>
        <w:rPr>
          <w:rStyle w:val="VerbatimChar"/>
        </w:rPr>
        <w:t xml:space="preserve">├── Stopwords domínio específico: 55</w:t>
      </w:r>
      <w:r>
        <w:br/>
      </w:r>
      <w:r>
        <w:rPr>
          <w:rStyle w:val="VerbatimChar"/>
        </w:rPr>
        <w:t xml:space="preserve">└── Total de stopwords: 255</w:t>
      </w:r>
      <w:r>
        <w:br/>
      </w:r>
      <w:r>
        <w:br/>
      </w:r>
      <w:r>
        <w:rPr>
          <w:rStyle w:val="VerbatimChar"/>
        </w:rPr>
        <w:t xml:space="preserve">Processando campos textuais...</w:t>
      </w:r>
      <w:r>
        <w:br/>
      </w:r>
      <w:r>
        <w:br/>
      </w:r>
      <w:r>
        <w:rPr>
          <w:rStyle w:val="VerbatimChar"/>
        </w:rPr>
        <w:t xml:space="preserve">Processando: Descrição do Projeto</w:t>
      </w:r>
      <w:r>
        <w:br/>
      </w:r>
      <w:r>
        <w:rPr>
          <w:rStyle w:val="VerbatimChar"/>
        </w:rPr>
        <w:t xml:space="preserve">├── Palavras médias (original): 268.0</w:t>
      </w:r>
      <w:r>
        <w:br/>
      </w:r>
      <w:r>
        <w:rPr>
          <w:rStyle w:val="VerbatimChar"/>
        </w:rPr>
        <w:t xml:space="preserve">├── Palavras médias (limpo): 147.1</w:t>
      </w:r>
      <w:r>
        <w:br/>
      </w:r>
      <w:r>
        <w:rPr>
          <w:rStyle w:val="VerbatimChar"/>
        </w:rPr>
        <w:t xml:space="preserve">└── Redução média: 44.5%</w:t>
      </w:r>
      <w:r>
        <w:br/>
      </w:r>
      <w:r>
        <w:br/>
      </w:r>
      <w:r>
        <w:rPr>
          <w:rStyle w:val="VerbatimChar"/>
        </w:rPr>
        <w:t xml:space="preserve">Processando: Elemento Tecnológico</w:t>
      </w:r>
      <w:r>
        <w:br/>
      </w:r>
      <w:r>
        <w:rPr>
          <w:rStyle w:val="VerbatimChar"/>
        </w:rPr>
        <w:t xml:space="preserve">├── Palavras médias (original): 306.5</w:t>
      </w:r>
      <w:r>
        <w:br/>
      </w:r>
      <w:r>
        <w:rPr>
          <w:rStyle w:val="VerbatimChar"/>
        </w:rPr>
        <w:t xml:space="preserve">├── Palavras médias (limpo): 168.7</w:t>
      </w:r>
      <w:r>
        <w:br/>
      </w:r>
      <w:r>
        <w:rPr>
          <w:rStyle w:val="VerbatimChar"/>
        </w:rPr>
        <w:t xml:space="preserve">└── Redução média: 44.7%</w:t>
      </w:r>
      <w:r>
        <w:br/>
      </w:r>
      <w:r>
        <w:br/>
      </w:r>
      <w:r>
        <w:rPr>
          <w:rStyle w:val="VerbatimChar"/>
        </w:rPr>
        <w:t xml:space="preserve">Processando: Desafio Tecnológico</w:t>
      </w:r>
      <w:r>
        <w:br/>
      </w:r>
      <w:r>
        <w:rPr>
          <w:rStyle w:val="VerbatimChar"/>
        </w:rPr>
        <w:t xml:space="preserve">├── Palavras médias (original): 293.4</w:t>
      </w:r>
      <w:r>
        <w:br/>
      </w:r>
      <w:r>
        <w:rPr>
          <w:rStyle w:val="VerbatimChar"/>
        </w:rPr>
        <w:t xml:space="preserve">├── Palavras médias (limpo): 162.0</w:t>
      </w:r>
      <w:r>
        <w:br/>
      </w:r>
      <w:r>
        <w:rPr>
          <w:rStyle w:val="VerbatimChar"/>
        </w:rPr>
        <w:t xml:space="preserve">└── Redução média: 44.6%</w:t>
      </w:r>
      <w:r>
        <w:br/>
      </w:r>
      <w:r>
        <w:br/>
      </w:r>
      <w:r>
        <w:rPr>
          <w:rStyle w:val="VerbatimChar"/>
        </w:rPr>
        <w:t xml:space="preserve">Processando: Metodologia Utilizada</w:t>
      </w:r>
      <w:r>
        <w:br/>
      </w:r>
      <w:r>
        <w:rPr>
          <w:rStyle w:val="VerbatimChar"/>
        </w:rPr>
        <w:t xml:space="preserve">├── Palavras médias (original): 287.5</w:t>
      </w:r>
      <w:r>
        <w:br/>
      </w:r>
      <w:r>
        <w:rPr>
          <w:rStyle w:val="VerbatimChar"/>
        </w:rPr>
        <w:t xml:space="preserve">├── Palavras médias (limpo): 159.9</w:t>
      </w:r>
      <w:r>
        <w:br/>
      </w:r>
      <w:r>
        <w:rPr>
          <w:rStyle w:val="VerbatimChar"/>
        </w:rPr>
        <w:t xml:space="preserve">└── Redução média: 43.5%</w:t>
      </w:r>
      <w:r>
        <w:br/>
      </w:r>
      <w:r>
        <w:br/>
      </w:r>
      <w:r>
        <w:rPr>
          <w:rStyle w:val="VerbatimChar"/>
        </w:rPr>
        <w:t xml:space="preserve">1.4 Gerando Visualizações</w:t>
      </w:r>
    </w:p>
    <w:p>
      <w:pPr>
        <w:pStyle w:val="FirstParagraph"/>
      </w:pPr>
      <w:r>
        <w:drawing>
          <wp:inline>
            <wp:extent cx="5334000" cy="352695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4-output-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39629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4-output-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1.5 Preparação Final do Dataset</w:t>
      </w:r>
      <w:r>
        <w:br/>
      </w:r>
      <w:r>
        <w:br/>
      </w:r>
      <w:r>
        <w:rPr>
          <w:rStyle w:val="VerbatimChar"/>
        </w:rPr>
        <w:t xml:space="preserve">Criando campo de texto combinado...</w:t>
      </w:r>
      <w:r>
        <w:br/>
      </w:r>
      <w:r>
        <w:br/>
      </w:r>
      <w:r>
        <w:rPr>
          <w:rStyle w:val="VerbatimChar"/>
        </w:rPr>
        <w:t xml:space="preserve">Dataset preparado com sucesso!</w:t>
      </w:r>
      <w:r>
        <w:br/>
      </w:r>
      <w:r>
        <w:rPr>
          <w:rStyle w:val="VerbatimChar"/>
        </w:rPr>
        <w:t xml:space="preserve">├── Total de projetos: 75,816</w:t>
      </w:r>
      <w:r>
        <w:br/>
      </w:r>
      <w:r>
        <w:rPr>
          <w:rStyle w:val="VerbatimChar"/>
        </w:rPr>
        <w:t xml:space="preserve">├── Variáveis originais: 18</w:t>
      </w:r>
      <w:r>
        <w:br/>
      </w:r>
      <w:r>
        <w:rPr>
          <w:rStyle w:val="VerbatimChar"/>
        </w:rPr>
        <w:t xml:space="preserve">├── Variáveis criadas: 9</w:t>
      </w:r>
      <w:r>
        <w:br/>
      </w:r>
      <w:r>
        <w:rPr>
          <w:rStyle w:val="VerbatimChar"/>
        </w:rPr>
        <w:t xml:space="preserve">└── Total de variáveis: 27</w:t>
      </w:r>
      <w:r>
        <w:br/>
      </w:r>
      <w:r>
        <w:br/>
      </w:r>
      <w:r>
        <w:rPr>
          <w:rStyle w:val="VerbatimChar"/>
        </w:rPr>
        <w:t xml:space="preserve">Exemplo de Processamento (Projeto #1):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Original: Em 2018, a Abbott realizou atividades de pesquisa e desenvolvimento de medicamentos e polivitamínicos. As limitações técnicas deste projeto envolvem i...</w:t>
      </w:r>
      <w:r>
        <w:br/>
      </w:r>
      <w:r>
        <w:rPr>
          <w:rStyle w:val="VerbatimChar"/>
        </w:rPr>
        <w:t xml:space="preserve">Limpo: 2018, abbott realizou medicamentos polivitamínicos. limitações técnicas deste envolvem incertezas relação estabilidade fórmulas desenvolvidas, eficáci...</w:t>
      </w:r>
      <w:r>
        <w:br/>
      </w:r>
      <w:r>
        <w:rPr>
          <w:rStyle w:val="VerbatimChar"/>
        </w:rPr>
        <w:t xml:space="preserve">Redução: 42.0%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CAPÍTULO 1 CONCLUÍDO - Dataset pronto para análise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</w:p>
    <w:bookmarkEnd w:id="37"/>
    <w:bookmarkStart w:id="44" w:name="análise-exploratória-inicial"/>
    <w:p>
      <w:pPr>
        <w:pStyle w:val="Heading2"/>
      </w:pPr>
      <w:r>
        <w:t xml:space="preserve">2. Análise Exploratória Inicial</w:t>
      </w:r>
    </w:p>
    <w:p>
      <w:pPr>
        <w:pStyle w:val="SourceCode"/>
      </w:pPr>
      <w:r>
        <w:rPr>
          <w:rStyle w:val="VerbatimChar"/>
        </w:rPr>
        <w:t xml:space="preserve">📅 ANÁLISE TEMPORAL POR ANO-BASE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Informações temporais do dataset:</w:t>
      </w:r>
      <w:r>
        <w:br/>
      </w:r>
      <w:r>
        <w:rPr>
          <w:rStyle w:val="VerbatimChar"/>
        </w:rPr>
        <w:t xml:space="preserve">├── Período de abrangência: 2018 a 2023</w:t>
      </w:r>
      <w:r>
        <w:br/>
      </w:r>
      <w:r>
        <w:rPr>
          <w:rStyle w:val="VerbatimChar"/>
        </w:rPr>
        <w:t xml:space="preserve">├── Total de anos: 6 anos</w:t>
      </w:r>
      <w:r>
        <w:br/>
      </w:r>
      <w:r>
        <w:rPr>
          <w:rStyle w:val="VerbatimChar"/>
        </w:rPr>
        <w:t xml:space="preserve">└── Anos incluídos: 2018, 2019, 2020, 2021, 2022, 2023</w:t>
      </w:r>
      <w:r>
        <w:br/>
      </w:r>
      <w:r>
        <w:br/>
      </w:r>
      <w:r>
        <w:rPr>
          <w:rStyle w:val="VerbatimChar"/>
        </w:rPr>
        <w:t xml:space="preserve">📈 Distribuição de projetos por ano-base: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2018: 10,876 projetos (14.3%)</w:t>
      </w:r>
      <w:r>
        <w:br/>
      </w:r>
      <w:r>
        <w:rPr>
          <w:rStyle w:val="VerbatimChar"/>
        </w:rPr>
        <w:t xml:space="preserve">2019: 12,168 projetos (16.0%)</w:t>
      </w:r>
      <w:r>
        <w:br/>
      </w:r>
      <w:r>
        <w:rPr>
          <w:rStyle w:val="VerbatimChar"/>
        </w:rPr>
        <w:t xml:space="preserve">2020: 11,660 projetos (15.4%)</w:t>
      </w:r>
      <w:r>
        <w:br/>
      </w:r>
      <w:r>
        <w:rPr>
          <w:rStyle w:val="VerbatimChar"/>
        </w:rPr>
        <w:t xml:space="preserve">2021: 13,198 projetos (17.4%)</w:t>
      </w:r>
      <w:r>
        <w:br/>
      </w:r>
      <w:r>
        <w:rPr>
          <w:rStyle w:val="VerbatimChar"/>
        </w:rPr>
        <w:t xml:space="preserve">2022: 13,786 projetos (18.2%)</w:t>
      </w:r>
      <w:r>
        <w:br/>
      </w:r>
      <w:r>
        <w:rPr>
          <w:rStyle w:val="VerbatimChar"/>
        </w:rPr>
        <w:t xml:space="preserve">2023: 14,128 projetos (18.6%)</w:t>
      </w:r>
    </w:p>
    <w:bookmarkStart w:id="38" w:name="Xb7d479855a82490e2555c2d1dbe8785f6e9f828"/>
    <w:p>
      <w:pPr>
        <w:pStyle w:val="Heading4"/>
      </w:pPr>
      <w:r>
        <w:t xml:space="preserve">Gráfico 2.1 - Distribuição de Projetos por Ano-Base</w:t>
      </w:r>
    </w:p>
    <w:p>
      <w:pPr>
        <w:pStyle w:val="FirstParagraph"/>
      </w:pPr>
      <w:r>
        <w:t xml:space="preserve">Este gráfico de barras apresenta a quantidade absoluta de projetos distribuídos ao longo de seis anos consecutivos, de 2018 a 2023. O eixo horizontal representa os anos-base e o eixo vertical mostra o número de projetos. Cada barra azul corresponde a um ano específico, com o valor numérico exato exibido acima de cada barra. O gráfico mostra uma tendência crescente de 2018 (10.876 projetos) até 2023 (14.128 projetos), com um pico intermediário em 2022 (13.786 projetos). A grade horizontal facilita a leitura dos valores intermediários. O menor volume registrado foi em 2018 e o maior em 2023, indicando uma variação de aproximadamente 3.252 projetos entre o mínimo e máximo do período.</w:t>
      </w:r>
    </w:p>
    <w:bookmarkEnd w:id="38"/>
    <w:bookmarkStart w:id="42" w:name="Xde4555582d4b921e15bcaaa717829a5908c32c2"/>
    <w:p>
      <w:pPr>
        <w:pStyle w:val="Heading4"/>
      </w:pPr>
      <w:r>
        <w:t xml:space="preserve">Gráfico 2.2 - Distribuição Percentual por Ano-Base</w:t>
      </w:r>
    </w:p>
    <w:p>
      <w:pPr>
        <w:pStyle w:val="FirstParagraph"/>
      </w:pPr>
      <w:r>
        <w:t xml:space="preserve">Este gráfico de pizza representa a mesma distribuição temporal em formato percentual, mostrando a proporção relativa de projetos em cada ano-base. Cada fatia colorida representa um ano diferente, com cores distintas seguindo uma paleta pastel. Os percentuais estão exibidos dentro de cada fatia em negrito. O ano de 2023 representa a maior fatia com 18,6% do total, seguido por 2022 com 18,2% e 2021 com 17,4%. Os anos de 2019 (16,0%), 2020 (15,4%) e 2018 (14,3%) apresentam as menores proporções. O gráfico começa às 12 horas (ângulo de 90 graus) e as fatias são distribuídas no sentido horário. A soma de todos os percentuais totaliza 100%, representando o universo completo de projetos analisados no período de seis anos.</w:t>
      </w:r>
    </w:p>
    <w:p>
      <w:pPr>
        <w:pStyle w:val="BodyText"/>
      </w:pPr>
      <w:r>
        <w:drawing>
          <wp:inline>
            <wp:extent cx="5334000" cy="2165214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6-output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Valores únicos em 'do_taaproj_notipoavaliacaoanalise' (Pesquisador ad hoc):</w:t>
      </w:r>
      <w:r>
        <w:br/>
      </w:r>
      <w:r>
        <w:rPr>
          <w:rStyle w:val="VerbatimChar"/>
        </w:rPr>
        <w:t xml:space="preserve">do_taaproj_notipoavaliacaoanalise</w:t>
      </w:r>
      <w:r>
        <w:br/>
      </w:r>
      <w:r>
        <w:rPr>
          <w:rStyle w:val="VerbatimChar"/>
        </w:rPr>
        <w:t xml:space="preserve">Recomendado        48112</w:t>
      </w:r>
      <w:r>
        <w:br/>
      </w:r>
      <w:r>
        <w:rPr>
          <w:rStyle w:val="VerbatimChar"/>
        </w:rPr>
        <w:t xml:space="preserve">Não Recomendado    27682</w:t>
      </w:r>
      <w:r>
        <w:br/>
      </w:r>
      <w:r>
        <w:rPr>
          <w:rStyle w:val="VerbatimChar"/>
        </w:rPr>
        <w:t xml:space="preserve">Abonado               19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br/>
      </w:r>
      <w:r>
        <w:rPr>
          <w:rStyle w:val="VerbatimChar"/>
        </w:rPr>
        <w:t xml:space="preserve">Valores únicos em 'p_taaproj_notipoavaliacaoanalise' (Ministério):</w:t>
      </w:r>
      <w:r>
        <w:br/>
      </w:r>
      <w:r>
        <w:rPr>
          <w:rStyle w:val="VerbatimChar"/>
        </w:rPr>
        <w:t xml:space="preserve">p_taaproj_notipoavaliacaoanalise</w:t>
      </w:r>
      <w:r>
        <w:br/>
      </w:r>
      <w:r>
        <w:rPr>
          <w:rStyle w:val="VerbatimChar"/>
        </w:rPr>
        <w:t xml:space="preserve">Recomendado        42575</w:t>
      </w:r>
      <w:r>
        <w:br/>
      </w:r>
      <w:r>
        <w:rPr>
          <w:rStyle w:val="VerbatimChar"/>
        </w:rPr>
        <w:t xml:space="preserve">Não Recomendado    25903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br/>
      </w:r>
      <w:r>
        <w:rPr>
          <w:rStyle w:val="VerbatimChar"/>
        </w:rPr>
        <w:t xml:space="preserve">Projetos com análise completa (Pesquisador + Ministério): 68,475</w:t>
      </w:r>
    </w:p>
    <w:bookmarkEnd w:id="42"/>
    <w:bookmarkStart w:id="43" w:name="X08aa3f04a74116ad83ae4212ecdb90865388bd0"/>
    <w:p>
      <w:pPr>
        <w:pStyle w:val="Heading4"/>
      </w:pPr>
      <w:r>
        <w:t xml:space="preserve">Distribuição Temporal dos Projetos Completos</w:t>
      </w:r>
    </w:p>
    <w:p>
      <w:pPr>
        <w:pStyle w:val="FirstParagraph"/>
      </w:pPr>
      <w:r>
        <w:t xml:space="preserve">A análise por ano-base mostra uma consistência notável: todos os anos apresentam exatamente 100% de completude. Isso significa que:</w:t>
      </w:r>
    </w:p>
    <w:p>
      <w:pPr>
        <w:pStyle w:val="SourceCode"/>
      </w:pPr>
      <w:r>
        <w:br/>
      </w:r>
      <w:r>
        <w:rPr>
          <w:rStyle w:val="VerbatimChar"/>
        </w:rPr>
        <w:t xml:space="preserve">📊 Distribuição de projetos completos por ano:</w:t>
      </w:r>
      <w:r>
        <w:br/>
      </w:r>
      <w:r>
        <w:rPr>
          <w:rStyle w:val="VerbatimChar"/>
        </w:rPr>
        <w:t xml:space="preserve">├── 2018: 10,876 de 10,876 projetos (100.0% completos)</w:t>
      </w:r>
      <w:r>
        <w:br/>
      </w:r>
      <w:r>
        <w:rPr>
          <w:rStyle w:val="VerbatimChar"/>
        </w:rPr>
        <w:t xml:space="preserve">├── 2019: 12,168 de 12,168 projetos (100.0% completos)</w:t>
      </w:r>
      <w:r>
        <w:br/>
      </w:r>
      <w:r>
        <w:rPr>
          <w:rStyle w:val="VerbatimChar"/>
        </w:rPr>
        <w:t xml:space="preserve">├── 2020: 11,658 de 11,660 projetos (100.0% completos)</w:t>
      </w:r>
      <w:r>
        <w:br/>
      </w:r>
      <w:r>
        <w:rPr>
          <w:rStyle w:val="VerbatimChar"/>
        </w:rPr>
        <w:t xml:space="preserve">├── 2021: 13,197 de 13,198 projetos (100.0% completos)</w:t>
      </w:r>
      <w:r>
        <w:br/>
      </w:r>
      <w:r>
        <w:rPr>
          <w:rStyle w:val="VerbatimChar"/>
        </w:rPr>
        <w:t xml:space="preserve">├── 2022: 13,786 de 13,786 projetos (100.0% completos)</w:t>
      </w:r>
      <w:r>
        <w:br/>
      </w:r>
      <w:r>
        <w:rPr>
          <w:rStyle w:val="VerbatimChar"/>
        </w:rPr>
        <w:t xml:space="preserve">├── 2023: 6,790 de 14,128 projetos (48.1% completos)</w:t>
      </w:r>
      <w:r>
        <w:br/>
      </w:r>
      <w:r>
        <w:br/>
      </w:r>
      <w:r>
        <w:rPr>
          <w:rStyle w:val="VerbatimChar"/>
        </w:rPr>
        <w:t xml:space="preserve">🔍 Análise de completude das avaliações:</w:t>
      </w:r>
      <w:r>
        <w:br/>
      </w:r>
      <w:r>
        <w:rPr>
          <w:rStyle w:val="VerbatimChar"/>
        </w:rPr>
        <w:t xml:space="preserve">├── Apenas Pesquisador: 7,338 (9.7%)</w:t>
      </w:r>
      <w:r>
        <w:br/>
      </w:r>
      <w:r>
        <w:rPr>
          <w:rStyle w:val="VerbatimChar"/>
        </w:rPr>
        <w:t xml:space="preserve">├── Apenas Ministério: 3 (0.0%)</w:t>
      </w:r>
      <w:r>
        <w:br/>
      </w:r>
      <w:r>
        <w:rPr>
          <w:rStyle w:val="VerbatimChar"/>
        </w:rPr>
        <w:t xml:space="preserve">└── Sem avaliação: 0 (0.0%)</w:t>
      </w:r>
    </w:p>
    <w:bookmarkEnd w:id="43"/>
    <w:bookmarkEnd w:id="44"/>
    <w:bookmarkStart w:id="58" w:name="análise-de-quadrante-de-decisão"/>
    <w:p>
      <w:pPr>
        <w:pStyle w:val="Heading2"/>
      </w:pPr>
      <w:r>
        <w:t xml:space="preserve">3. Análise de Quadrante de Decisão</w:t>
      </w:r>
    </w:p>
    <w:p>
      <w:pPr>
        <w:pStyle w:val="FirstParagraph"/>
      </w:pPr>
      <w:r>
        <w:t xml:space="preserve">Análise dos quadrantes de decisão entre Pesquisadores e Ministério.</w:t>
      </w:r>
    </w:p>
    <w:bookmarkStart w:id="50" w:name="X506cd7367ceb72969551a3961721ab3fb09eb6b"/>
    <w:p>
      <w:pPr>
        <w:pStyle w:val="Heading3"/>
      </w:pPr>
      <w:r>
        <w:t xml:space="preserve">Análise de Quadrantes de Decisão - Saída do Terminal e Gráficos</w:t>
      </w:r>
    </w:p>
    <w:p>
      <w:pPr>
        <w:pStyle w:val="FirstParagraph"/>
      </w:pPr>
      <w:r>
        <w:t xml:space="preserve">Este código realiza uma análise completa da concordância e discordância entre as decisões de dois grupos de avaliadores: pesquisadores (ad hoc) e o ministério. O código primeiro padroniza as decisões em categorias uniformes e filtra apenas os registros com decisões válidas (Recomendado ou Não Recomendado), excluindo 19 projetos classificados como</w:t>
      </w:r>
      <w:r>
        <w:t xml:space="preserve"> </w:t>
      </w:r>
      <w:r>
        <w:t xml:space="preserve">“</w:t>
      </w:r>
      <w:r>
        <w:t xml:space="preserve">Outro</w:t>
      </w:r>
      <w:r>
        <w:t xml:space="preserve">”</w:t>
      </w:r>
      <w:r>
        <w:t xml:space="preserve">.</w:t>
      </w:r>
      <w:r>
        <w:t xml:space="preserve"> </w:t>
      </w:r>
      <w:r>
        <w:t xml:space="preserve">A matriz de decisões mostra a distribuição cruzada das avaliações, revelando que de 68.456 projetos analisados, a maioria (36.660 projetos ou 53,6%) foi recomendada por ambos os avaliadores (Quadrante 1). O Quadrante 4, com 20.794 projetos (30,4%), representa casos onde ambos não recomendaram. Os quadrantes de discordância são menores: Q2 com 5.104 projetos (7,5%) onde o pesquisador recomendou mas o ministério não, e Q3 com 5.898 projetos (8,6%) onde ocorreu o oposto.</w:t>
      </w:r>
    </w:p>
    <w:bookmarkStart w:id="45" w:name="X7635f51fe304ba7eec2fc51479581587b0b8744"/>
    <w:p>
      <w:pPr>
        <w:pStyle w:val="Heading4"/>
      </w:pPr>
      <w:r>
        <w:t xml:space="preserve">Tabela 3.1 - Visualização dos Quadrantes de Decisão</w:t>
      </w:r>
    </w:p>
    <w:p>
      <w:pPr>
        <w:pStyle w:val="FirstParagraph"/>
      </w:pPr>
      <w:r>
        <w:t xml:space="preserve">Este diagrama de dispersão representa visualmente os quatro quadrantes usando círculos proporcionais ao número de projetos. O eixo horizontal representa a decisão do ministério e o vertical a do pesquisador. O Q1 (verde, canto superior direito) é o maior círculo com 53,6% dos projetos. O Q4 (cinza, canto inferior esquerdo) é o segundo maior com 30,4%. Os quadrantes de discordância Q2 (vermelho) e Q3 (laranja) são menores e similares em tamanho. As linhas cruzadas dividem o espaço em quatro regiões distintas.</w:t>
      </w:r>
      <w:r>
        <w:t xml:space="preserve"> </w:t>
      </w:r>
      <w:r>
        <w:t xml:space="preserve">A análise final mostra uma taxa de concordância total de 83,9% (Q1+Q4) e discordância de 16,1% (Q2+Q3). Entre as discordâncias, há um equilíbrio relativo: o ministério é mais rigoroso em 46,4% dos casos discordantes (Q2), enquanto o pesquisador é mais rigoroso em 53,6% dos casos (Q3).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QUADRANTES DE DECISÃO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20794         5898  26692</w:t>
      </w:r>
      <w:r>
        <w:br/>
      </w:r>
      <w:r>
        <w:rPr>
          <w:rStyle w:val="VerbatimChar"/>
        </w:rPr>
        <w:t xml:space="preserve">Recomendado                      5104        36660  41764</w:t>
      </w:r>
      <w:r>
        <w:br/>
      </w:r>
      <w:r>
        <w:rPr>
          <w:rStyle w:val="VerbatimChar"/>
        </w:rPr>
        <w:t xml:space="preserve">Total                           25898        42558  68456</w:t>
      </w:r>
      <w:r>
        <w:br/>
      </w:r>
      <w:r>
        <w:br/>
      </w:r>
      <w:r>
        <w:rPr>
          <w:rStyle w:val="VerbatimChar"/>
        </w:rPr>
        <w:t xml:space="preserve">⚠️ 19 projetos foram excluídos da análise por terem decisão 'Outro'</w:t>
      </w:r>
      <w:r>
        <w:br/>
      </w:r>
      <w:r>
        <w:br/>
      </w:r>
      <w:r>
        <w:br/>
      </w:r>
      <w:r>
        <w:rPr>
          <w:rStyle w:val="VerbatimChar"/>
        </w:rPr>
        <w:t xml:space="preserve">📊 ANÁLISE POR QUADRANTES: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Quadrante 1 - Recomendado por AMBOS (Pesquisador E Ministério):</w:t>
      </w:r>
      <w:r>
        <w:br/>
      </w:r>
      <w:r>
        <w:rPr>
          <w:rStyle w:val="VerbatimChar"/>
        </w:rPr>
        <w:t xml:space="preserve">  → 36,660 projetos (53.6%)</w:t>
      </w:r>
      <w:r>
        <w:br/>
      </w:r>
      <w:r>
        <w:br/>
      </w:r>
      <w:r>
        <w:rPr>
          <w:rStyle w:val="VerbatimChar"/>
        </w:rPr>
        <w:t xml:space="preserve">Quadrante 2 - Recomendado pelo Pesquisador, NÃO pelo Ministério:</w:t>
      </w:r>
      <w:r>
        <w:br/>
      </w:r>
      <w:r>
        <w:rPr>
          <w:rStyle w:val="VerbatimChar"/>
        </w:rPr>
        <w:t xml:space="preserve">  → 5,104 projetos (7.5%)</w:t>
      </w:r>
      <w:r>
        <w:br/>
      </w:r>
      <w:r>
        <w:br/>
      </w:r>
      <w:r>
        <w:rPr>
          <w:rStyle w:val="VerbatimChar"/>
        </w:rPr>
        <w:t xml:space="preserve">Quadrante 3 - NÃO Recomendado pelo Pesquisador, SIM pelo Ministério:</w:t>
      </w:r>
      <w:r>
        <w:br/>
      </w:r>
      <w:r>
        <w:rPr>
          <w:rStyle w:val="VerbatimChar"/>
        </w:rPr>
        <w:t xml:space="preserve">  → 5,898 projetos (8.6%)</w:t>
      </w:r>
      <w:r>
        <w:br/>
      </w:r>
      <w:r>
        <w:br/>
      </w:r>
      <w:r>
        <w:rPr>
          <w:rStyle w:val="VerbatimChar"/>
        </w:rPr>
        <w:t xml:space="preserve">Quadrante 4 - NÃO Recomendado por AMBOS:</w:t>
      </w:r>
      <w:r>
        <w:br/>
      </w:r>
      <w:r>
        <w:rPr>
          <w:rStyle w:val="VerbatimChar"/>
        </w:rPr>
        <w:t xml:space="preserve">  → 20,794 projetos (30.4%)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Total: 68,456 projetos</w:t>
      </w:r>
    </w:p>
    <w:bookmarkEnd w:id="45"/>
    <w:bookmarkStart w:id="49" w:name="gráfico-3.1---matriz-de-decisões"/>
    <w:p>
      <w:pPr>
        <w:pStyle w:val="Heading4"/>
      </w:pPr>
      <w:r>
        <w:t xml:space="preserve">Gráfico 3.1 - Matriz de Decisões (%)</w:t>
      </w:r>
    </w:p>
    <w:p>
      <w:pPr>
        <w:pStyle w:val="FirstParagraph"/>
      </w:pPr>
      <w:r>
        <w:t xml:space="preserve">Este mapa de calor visualiza a matriz de contingência em formato percentual. As cores seguem uma escala do azul ao vermelho, onde valores mais altos aparecem em vermelho. Cada célula mostra tanto o percentual quanto o número absoluto de projetos entre parênteses. A diagonal principal (superior esquerdo para inferior direito) concentra a maioria dos casos, indicando alta concordância entre avaliadores. A célula vermelha (53,6%) representa o Q1 onde ambos recomendam, enquanto a célula amarela (30,4%) representa o Q4 onde ambos rejeitam.</w:t>
      </w:r>
    </w:p>
    <w:p>
      <w:pPr>
        <w:pStyle w:val="BodyText"/>
      </w:pPr>
      <w:r>
        <w:drawing>
          <wp:inline>
            <wp:extent cx="5334000" cy="197928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9-output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📊 MÉTRICAS DE CONCORDÂNCIA:</w:t>
      </w:r>
      <w:r>
        <w:br/>
      </w:r>
      <w:r>
        <w:rPr>
          <w:rStyle w:val="VerbatimChar"/>
        </w:rPr>
        <w:t xml:space="preserve">Taxa de Concordância Total: 83.9%</w:t>
      </w:r>
      <w:r>
        <w:br/>
      </w:r>
      <w:r>
        <w:rPr>
          <w:rStyle w:val="VerbatimChar"/>
        </w:rPr>
        <w:t xml:space="preserve">Taxa de Discordância Total: 16.1%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Pesquisador mais rigoroso (Q2): 53.6%</w:t>
      </w:r>
      <w:r>
        <w:br/>
      </w:r>
      <w:r>
        <w:rPr>
          <w:rStyle w:val="VerbatimChar"/>
        </w:rPr>
        <w:t xml:space="preserve">  - Ministério mais rigoroso (Q3): 46.4%</w:t>
      </w:r>
    </w:p>
    <w:bookmarkEnd w:id="49"/>
    <w:bookmarkEnd w:id="50"/>
    <w:bookmarkStart w:id="57" w:name="análise-de-quadrante-por-ano"/>
    <w:p>
      <w:pPr>
        <w:pStyle w:val="Heading3"/>
      </w:pPr>
      <w:r>
        <w:t xml:space="preserve">Análise de Quadrante por Ano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QUADRANTES DE DECISÃO POR ANO (2018-2022)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ANO: 2018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 - 2018: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  806         3316   4122</w:t>
      </w:r>
      <w:r>
        <w:br/>
      </w:r>
      <w:r>
        <w:rPr>
          <w:rStyle w:val="VerbatimChar"/>
        </w:rPr>
        <w:t xml:space="preserve">Recomendado                        89         6654   6743</w:t>
      </w:r>
      <w:r>
        <w:br/>
      </w:r>
      <w:r>
        <w:rPr>
          <w:rStyle w:val="VerbatimChar"/>
        </w:rPr>
        <w:t xml:space="preserve">Total                             895         9970  10865</w:t>
      </w:r>
      <w:r>
        <w:br/>
      </w:r>
      <w:r>
        <w:br/>
      </w:r>
      <w:r>
        <w:rPr>
          <w:rStyle w:val="VerbatimChar"/>
        </w:rPr>
        <w:t xml:space="preserve">📊 MÉTRICAS DE CONCORDÂNCIA - 2018:</w:t>
      </w:r>
      <w:r>
        <w:br/>
      </w:r>
      <w:r>
        <w:rPr>
          <w:rStyle w:val="VerbatimChar"/>
        </w:rPr>
        <w:t xml:space="preserve">Taxa de Concordância Total: 68.7%</w:t>
      </w:r>
      <w:r>
        <w:br/>
      </w:r>
      <w:r>
        <w:rPr>
          <w:rStyle w:val="VerbatimChar"/>
        </w:rPr>
        <w:t xml:space="preserve">Taxa de Discordância Total: 31.3%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Ministério mais rigoroso (Q2): 2.6%</w:t>
      </w:r>
      <w:r>
        <w:br/>
      </w:r>
      <w:r>
        <w:rPr>
          <w:rStyle w:val="VerbatimChar"/>
        </w:rPr>
        <w:t xml:space="preserve">  - Pesquisador mais rigoroso (Q3): 97.4%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ANO: 2019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 - 2019: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 2687         1661   4348</w:t>
      </w:r>
      <w:r>
        <w:br/>
      </w:r>
      <w:r>
        <w:rPr>
          <w:rStyle w:val="VerbatimChar"/>
        </w:rPr>
        <w:t xml:space="preserve">Recomendado                       166         7654   7820</w:t>
      </w:r>
      <w:r>
        <w:br/>
      </w:r>
      <w:r>
        <w:rPr>
          <w:rStyle w:val="VerbatimChar"/>
        </w:rPr>
        <w:t xml:space="preserve">Total                            2853         9315  12168</w:t>
      </w:r>
      <w:r>
        <w:br/>
      </w:r>
      <w:r>
        <w:br/>
      </w:r>
      <w:r>
        <w:rPr>
          <w:rStyle w:val="VerbatimChar"/>
        </w:rPr>
        <w:t xml:space="preserve">📊 MÉTRICAS DE CONCORDÂNCIA - 2019:</w:t>
      </w:r>
      <w:r>
        <w:br/>
      </w:r>
      <w:r>
        <w:rPr>
          <w:rStyle w:val="VerbatimChar"/>
        </w:rPr>
        <w:t xml:space="preserve">Taxa de Concordância Total: 85.0%</w:t>
      </w:r>
      <w:r>
        <w:br/>
      </w:r>
      <w:r>
        <w:rPr>
          <w:rStyle w:val="VerbatimChar"/>
        </w:rPr>
        <w:t xml:space="preserve">Taxa de Discordância Total: 15.0%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Ministério mais rigoroso (Q2): 9.1%</w:t>
      </w:r>
      <w:r>
        <w:br/>
      </w:r>
      <w:r>
        <w:rPr>
          <w:rStyle w:val="VerbatimChar"/>
        </w:rPr>
        <w:t xml:space="preserve">  - Pesquisador mais rigoroso (Q3): 90.9%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ANO: 2020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 - 2020: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 3702          599   4301</w:t>
      </w:r>
      <w:r>
        <w:br/>
      </w:r>
      <w:r>
        <w:rPr>
          <w:rStyle w:val="VerbatimChar"/>
        </w:rPr>
        <w:t xml:space="preserve">Recomendado                       199         7153   7352</w:t>
      </w:r>
      <w:r>
        <w:br/>
      </w:r>
      <w:r>
        <w:rPr>
          <w:rStyle w:val="VerbatimChar"/>
        </w:rPr>
        <w:t xml:space="preserve">Total                            3901         7752  11653</w:t>
      </w:r>
      <w:r>
        <w:br/>
      </w:r>
      <w:r>
        <w:br/>
      </w:r>
      <w:r>
        <w:rPr>
          <w:rStyle w:val="VerbatimChar"/>
        </w:rPr>
        <w:t xml:space="preserve">📊 MÉTRICAS DE CONCORDÂNCIA - 2020:</w:t>
      </w:r>
      <w:r>
        <w:br/>
      </w:r>
      <w:r>
        <w:rPr>
          <w:rStyle w:val="VerbatimChar"/>
        </w:rPr>
        <w:t xml:space="preserve">Taxa de Concordância Total: 93.2%</w:t>
      </w:r>
      <w:r>
        <w:br/>
      </w:r>
      <w:r>
        <w:rPr>
          <w:rStyle w:val="VerbatimChar"/>
        </w:rPr>
        <w:t xml:space="preserve">Taxa de Discordância Total: 6.8%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Ministério mais rigoroso (Q2): 24.9%</w:t>
      </w:r>
      <w:r>
        <w:br/>
      </w:r>
      <w:r>
        <w:rPr>
          <w:rStyle w:val="VerbatimChar"/>
        </w:rPr>
        <w:t xml:space="preserve">  - Pesquisador mais rigoroso (Q3): 75.1%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ANO: 2021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 - 2021: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 4763          238   5001</w:t>
      </w:r>
      <w:r>
        <w:br/>
      </w:r>
      <w:r>
        <w:rPr>
          <w:rStyle w:val="VerbatimChar"/>
        </w:rPr>
        <w:t xml:space="preserve">Recomendado                      2546         5647   8193</w:t>
      </w:r>
      <w:r>
        <w:br/>
      </w:r>
      <w:r>
        <w:rPr>
          <w:rStyle w:val="VerbatimChar"/>
        </w:rPr>
        <w:t xml:space="preserve">Total                            7309         5885  13194</w:t>
      </w:r>
      <w:r>
        <w:br/>
      </w:r>
      <w:r>
        <w:br/>
      </w:r>
      <w:r>
        <w:rPr>
          <w:rStyle w:val="VerbatimChar"/>
        </w:rPr>
        <w:t xml:space="preserve">📊 MÉTRICAS DE CONCORDÂNCIA - 2021:</w:t>
      </w:r>
      <w:r>
        <w:br/>
      </w:r>
      <w:r>
        <w:rPr>
          <w:rStyle w:val="VerbatimChar"/>
        </w:rPr>
        <w:t xml:space="preserve">Taxa de Concordância Total: 78.9%</w:t>
      </w:r>
      <w:r>
        <w:br/>
      </w:r>
      <w:r>
        <w:rPr>
          <w:rStyle w:val="VerbatimChar"/>
        </w:rPr>
        <w:t xml:space="preserve">Taxa de Discordância Total: 21.1%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Ministério mais rigoroso (Q2): 91.5%</w:t>
      </w:r>
      <w:r>
        <w:br/>
      </w:r>
      <w:r>
        <w:rPr>
          <w:rStyle w:val="VerbatimChar"/>
        </w:rPr>
        <w:t xml:space="preserve">  - Pesquisador mais rigoroso (Q3): 8.5%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ANO: 2022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Matriz de Decisões - 2022:</w:t>
      </w:r>
      <w:r>
        <w:br/>
      </w:r>
      <w:r>
        <w:rPr>
          <w:rStyle w:val="VerbatimChar"/>
        </w:rPr>
        <w:t xml:space="preserve">Ministério            Não Recomendado  Recomendado  Total</w:t>
      </w:r>
      <w:r>
        <w:br/>
      </w:r>
      <w:r>
        <w:rPr>
          <w:rStyle w:val="VerbatimChar"/>
        </w:rPr>
        <w:t xml:space="preserve">Pesquisador (ad hoc)                                     </w:t>
      </w:r>
      <w:r>
        <w:br/>
      </w:r>
      <w:r>
        <w:rPr>
          <w:rStyle w:val="VerbatimChar"/>
        </w:rPr>
        <w:t xml:space="preserve">Não Recomendado                  5186           84   5270</w:t>
      </w:r>
      <w:r>
        <w:br/>
      </w:r>
      <w:r>
        <w:rPr>
          <w:rStyle w:val="VerbatimChar"/>
        </w:rPr>
        <w:t xml:space="preserve">Recomendado                      2104         6412   8516</w:t>
      </w:r>
      <w:r>
        <w:br/>
      </w:r>
      <w:r>
        <w:rPr>
          <w:rStyle w:val="VerbatimChar"/>
        </w:rPr>
        <w:t xml:space="preserve">Total                            7290         6496  13786</w:t>
      </w:r>
      <w:r>
        <w:br/>
      </w:r>
      <w:r>
        <w:br/>
      </w:r>
      <w:r>
        <w:rPr>
          <w:rStyle w:val="VerbatimChar"/>
        </w:rPr>
        <w:t xml:space="preserve">📊 MÉTRICAS DE CONCORDÂNCIA - 2022:</w:t>
      </w:r>
      <w:r>
        <w:br/>
      </w:r>
      <w:r>
        <w:rPr>
          <w:rStyle w:val="VerbatimChar"/>
        </w:rPr>
        <w:t xml:space="preserve">Taxa de Concordância Total: 84.1%</w:t>
      </w:r>
      <w:r>
        <w:br/>
      </w:r>
      <w:r>
        <w:rPr>
          <w:rStyle w:val="VerbatimChar"/>
        </w:rPr>
        <w:t xml:space="preserve">Taxa de Discordância Total: 15.9%</w:t>
      </w:r>
      <w:r>
        <w:br/>
      </w:r>
      <w:r>
        <w:br/>
      </w:r>
      <w:r>
        <w:rPr>
          <w:rStyle w:val="VerbatimChar"/>
        </w:rPr>
        <w:t xml:space="preserve">Dentro das discordâncias:</w:t>
      </w:r>
      <w:r>
        <w:br/>
      </w:r>
      <w:r>
        <w:rPr>
          <w:rStyle w:val="VerbatimChar"/>
        </w:rPr>
        <w:t xml:space="preserve">  - Ministério mais rigoroso (Q2): 96.2%</w:t>
      </w:r>
      <w:r>
        <w:br/>
      </w:r>
      <w:r>
        <w:rPr>
          <w:rStyle w:val="VerbatimChar"/>
        </w:rPr>
        <w:t xml:space="preserve">  - Pesquisador mais rigoroso (Q3): 3.8%</w:t>
      </w:r>
    </w:p>
    <w:p>
      <w:pPr>
        <w:pStyle w:val="FirstParagraph"/>
      </w:pPr>
      <w:r>
        <w:drawing>
          <wp:inline>
            <wp:extent cx="5334000" cy="245721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0-output-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1268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0-output-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VerbatimChar"/>
        </w:rPr>
        <w:t xml:space="preserve">📊 TABELA RESUMO - EVOLUÇÃO ANUAL DOS QUADRANTES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 Ano   |  Total   |       Q1        |       Q2        |       Q3        |       Q4        |  Conc. </w:t>
      </w:r>
      <w:r>
        <w:br/>
      </w:r>
      <w:r>
        <w:rPr>
          <w:rStyle w:val="VerbatimChar"/>
        </w:rPr>
        <w:t xml:space="preserve">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2018.0 | 10,865.0 | 6,654.0 ( 61.2%) |   89.0 (  0.8%) | 3,316.0 ( 30.5%) |  806.0 (  7.4%) |   68.7%</w:t>
      </w:r>
      <w:r>
        <w:br/>
      </w:r>
      <w:r>
        <w:rPr>
          <w:rStyle w:val="VerbatimChar"/>
        </w:rPr>
        <w:t xml:space="preserve">2019.0 | 12,168.0 | 7,654.0 ( 62.9%) |  166.0 (  1.4%) | 1,661.0 ( 13.7%) | 2,687.0 ( 22.1%) |   85.0%</w:t>
      </w:r>
      <w:r>
        <w:br/>
      </w:r>
      <w:r>
        <w:rPr>
          <w:rStyle w:val="VerbatimChar"/>
        </w:rPr>
        <w:t xml:space="preserve">2020.0 | 11,653.0 | 7,153.0 ( 61.4%) |  199.0 (  1.7%) |  599.0 (  5.1%) | 3,702.0 ( 31.8%) |   93.2%</w:t>
      </w:r>
      <w:r>
        <w:br/>
      </w:r>
      <w:r>
        <w:rPr>
          <w:rStyle w:val="VerbatimChar"/>
        </w:rPr>
        <w:t xml:space="preserve">2021.0 | 13,194.0 | 5,647.0 ( 42.8%) | 2,546.0 ( 19.3%) |  238.0 (  1.8%) | 4,763.0 ( 36.1%) |   78.9%</w:t>
      </w:r>
      <w:r>
        <w:br/>
      </w:r>
      <w:r>
        <w:rPr>
          <w:rStyle w:val="VerbatimChar"/>
        </w:rPr>
        <w:t xml:space="preserve">2022.0 | 13,786.0 | 6,412.0 ( 46.5%) | 2,104.0 ( 15.3%) |   84.0 (  0.6%) | 5,186.0 ( 37.6%) |   84.1%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🔍 INSIGHTS DA EVOLUÇÃO TEMPORAL: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✅ Maior concordância: 2020.0 com 93.2%</w:t>
      </w:r>
      <w:r>
        <w:br/>
      </w:r>
      <w:r>
        <w:rPr>
          <w:rStyle w:val="VerbatimChar"/>
        </w:rPr>
        <w:t xml:space="preserve">❌ Menor concordância: 2018.0 com 68.7%</w:t>
      </w:r>
      <w:r>
        <w:br/>
      </w:r>
      <w:r>
        <w:rPr>
          <w:rStyle w:val="VerbatimChar"/>
        </w:rPr>
        <w:t xml:space="preserve">📈 Tendência: Aumento na concordância (+15.5% entre 2018-2022)</w:t>
      </w:r>
      <w:r>
        <w:br/>
      </w:r>
      <w:r>
        <w:br/>
      </w:r>
      <w:r>
        <w:rPr>
          <w:rStyle w:val="VerbatimChar"/>
        </w:rPr>
        <w:t xml:space="preserve">💾 Estatísticas exportadas para 'evolucao_quadrantes_2018_2022.csv'</w:t>
      </w:r>
    </w:p>
    <w:bookmarkEnd w:id="57"/>
    <w:bookmarkEnd w:id="58"/>
    <w:bookmarkStart w:id="114" w:name="análise-de-aprovação-por-setor"/>
    <w:p>
      <w:pPr>
        <w:pStyle w:val="Heading2"/>
      </w:pPr>
      <w:r>
        <w:t xml:space="preserve">4. Análise de Aprovação por Setor</w:t>
      </w:r>
    </w:p>
    <w:p>
      <w:pPr>
        <w:pStyle w:val="FirstParagraph"/>
      </w:pPr>
      <w:r>
        <w:t xml:space="preserve">Análise das taxas de aprovação por setor nas fases DO e Parecer, identificando padrões setoriais e diferenças entre as fases de avaliação.</w:t>
      </w:r>
    </w:p>
    <w:bookmarkStart w:id="62" w:name="análise-dos-quadrantes-por-setor"/>
    <w:p>
      <w:pPr>
        <w:pStyle w:val="Heading3"/>
      </w:pPr>
      <w:r>
        <w:t xml:space="preserve">Análise dos quadrantes por Setor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HEATMAP DOS QUADRANTES DE DECISÃO - ANÁLISE POR SETOR</w:t>
      </w:r>
      <w:r>
        <w:br/>
      </w:r>
      <w:r>
        <w:rPr>
          <w:rStyle w:val="VerbatimChar"/>
        </w:rPr>
        <w:t xml:space="preserve">Lei do Bem: Ministério vs Pareceristas por Área do Projeto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✅ Dataset carregado: 75,816 registros</w:t>
      </w:r>
      <w:r>
        <w:br/>
      </w:r>
      <w:r>
        <w:rPr>
          <w:rStyle w:val="VerbatimChar"/>
        </w:rPr>
        <w:t xml:space="preserve">📊 Projetos com decisões válidas e setor definido: 68,443</w:t>
      </w:r>
      <w:r>
        <w:br/>
      </w:r>
      <w:r>
        <w:br/>
      </w:r>
      <w:r>
        <w:rPr>
          <w:rStyle w:val="VerbatimChar"/>
        </w:rPr>
        <w:t xml:space="preserve">📈 Setores identificados: 7</w:t>
      </w:r>
      <w:r>
        <w:br/>
      </w:r>
      <w:r>
        <w:rPr>
          <w:rStyle w:val="VerbatimChar"/>
        </w:rPr>
        <w:t xml:space="preserve"> 1. Agroindústria e Alimentos: 8,144 projetos</w:t>
      </w:r>
      <w:r>
        <w:br/>
      </w:r>
      <w:r>
        <w:rPr>
          <w:rStyle w:val="VerbatimChar"/>
        </w:rPr>
        <w:t xml:space="preserve"> 2. Eletroeletrônica: 7,158 projetos</w:t>
      </w:r>
      <w:r>
        <w:br/>
      </w:r>
      <w:r>
        <w:rPr>
          <w:rStyle w:val="VerbatimChar"/>
        </w:rPr>
        <w:t xml:space="preserve"> 3. Mecânica e Transporte: 9,068 projetos</w:t>
      </w:r>
      <w:r>
        <w:br/>
      </w:r>
      <w:r>
        <w:rPr>
          <w:rStyle w:val="VerbatimChar"/>
        </w:rPr>
        <w:t xml:space="preserve"> 4. Metalurgia e Mineração: 4,989 projetos</w:t>
      </w:r>
      <w:r>
        <w:br/>
      </w:r>
      <w:r>
        <w:rPr>
          <w:rStyle w:val="VerbatimChar"/>
        </w:rPr>
        <w:t xml:space="preserve"> 5. Química e Farmácia: 12,845 projetos</w:t>
      </w:r>
      <w:r>
        <w:br/>
      </w:r>
      <w:r>
        <w:rPr>
          <w:rStyle w:val="VerbatimChar"/>
        </w:rPr>
        <w:t xml:space="preserve"> 6. TIC: 18,772 projetos</w:t>
      </w:r>
      <w:r>
        <w:br/>
      </w:r>
      <w:r>
        <w:rPr>
          <w:rStyle w:val="VerbatimChar"/>
        </w:rPr>
        <w:t xml:space="preserve"> 7. Transversal: 7,467 projetos</w:t>
      </w:r>
      <w:r>
        <w:br/>
      </w:r>
      <w:r>
        <w:br/>
      </w:r>
      <w:r>
        <w:rPr>
          <w:rStyle w:val="VerbatimChar"/>
        </w:rPr>
        <w:t xml:space="preserve">📊 Setores incluídos na análise: 7</w:t>
      </w:r>
    </w:p>
    <w:p>
      <w:pPr>
        <w:pStyle w:val="FirstParagraph"/>
      </w:pPr>
      <w:r>
        <w:drawing>
          <wp:inline>
            <wp:extent cx="5334000" cy="493581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1-output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📋 TABELA DETALHADA POR SETOR: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Setor                                Q1(S,S)  Q2(S,N)  Q3(N,S)  Q4(N,N)  Concord.  Discord.    Total</w:t>
      </w:r>
      <w:r>
        <w:br/>
      </w:r>
      <w:r>
        <w:rPr>
          <w:rStyle w:val="VerbatimChar"/>
        </w:rPr>
        <w:t xml:space="preserve">------------------------------------------------------------------------------------------------------------------------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TIC                                    40.9%    12.1%     7.5%    39.6%     80.4%     19.6%    18772</w:t>
      </w:r>
      <w:r>
        <w:br/>
      </w:r>
      <w:r>
        <w:rPr>
          <w:rStyle w:val="VerbatimChar"/>
        </w:rPr>
        <w:t xml:space="preserve">Química e Farmácia                     73.3%     3.3%     5.5%    17.9%     91.2%      8.8%    12845</w:t>
      </w:r>
      <w:r>
        <w:br/>
      </w:r>
      <w:r>
        <w:rPr>
          <w:rStyle w:val="VerbatimChar"/>
        </w:rPr>
        <w:t xml:space="preserve">Mecânica e Transporte                  54.6%     4.5%    13.6%    27.4%     82.0%     18.0%     9068</w:t>
      </w:r>
      <w:r>
        <w:br/>
      </w:r>
      <w:r>
        <w:rPr>
          <w:rStyle w:val="VerbatimChar"/>
        </w:rPr>
        <w:t xml:space="preserve">Agroindústria e Alimentos              52.0%     8.5%     7.5%    31.9%     83.9%     16.1%     8144</w:t>
      </w:r>
      <w:r>
        <w:br/>
      </w:r>
      <w:r>
        <w:rPr>
          <w:rStyle w:val="VerbatimChar"/>
        </w:rPr>
        <w:t xml:space="preserve">Transversal                            46.7%    11.8%     8.4%    33.1%     79.8%     20.2%     7467</w:t>
      </w:r>
      <w:r>
        <w:br/>
      </w:r>
      <w:r>
        <w:rPr>
          <w:rStyle w:val="VerbatimChar"/>
        </w:rPr>
        <w:t xml:space="preserve">Eletroeletrônica                       56.4%     2.2%    11.1%    30.4%     86.7%     13.3%     7158</w:t>
      </w:r>
      <w:r>
        <w:br/>
      </w:r>
      <w:r>
        <w:rPr>
          <w:rStyle w:val="VerbatimChar"/>
        </w:rPr>
        <w:t xml:space="preserve">Metalurgia e Mineração                 57.3%     5.6%    10.3%    26.9%     84.1%     15.9%     4989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🔍 ANÁLISE DE PADRÕES SETORIAIS: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✅ Maior Concordância: Química e Farmácia</w:t>
      </w:r>
      <w:r>
        <w:br/>
      </w:r>
      <w:r>
        <w:rPr>
          <w:rStyle w:val="VerbatimChar"/>
        </w:rPr>
        <w:t xml:space="preserve">   └── 91.2% (12845 projetos)</w:t>
      </w:r>
      <w:r>
        <w:br/>
      </w:r>
      <w:r>
        <w:rPr>
          <w:rStyle w:val="VerbatimChar"/>
        </w:rPr>
        <w:t xml:space="preserve">⚠️  Maior Discordância: Transversal</w:t>
      </w:r>
      <w:r>
        <w:br/>
      </w:r>
      <w:r>
        <w:rPr>
          <w:rStyle w:val="VerbatimChar"/>
        </w:rPr>
        <w:t xml:space="preserve">   └── 20.2% (7467 projetos)</w:t>
      </w:r>
      <w:r>
        <w:br/>
      </w:r>
      <w:r>
        <w:rPr>
          <w:rStyle w:val="VerbatimChar"/>
        </w:rPr>
        <w:t xml:space="preserve">🟢 Maior Q1 (S,S): Química e Farmácia</w:t>
      </w:r>
      <w:r>
        <w:br/>
      </w:r>
      <w:r>
        <w:rPr>
          <w:rStyle w:val="VerbatimChar"/>
        </w:rPr>
        <w:t xml:space="preserve">   └── 73.3% (12845 projetos)</w:t>
      </w:r>
      <w:r>
        <w:br/>
      </w:r>
      <w:r>
        <w:rPr>
          <w:rStyle w:val="VerbatimChar"/>
        </w:rPr>
        <w:t xml:space="preserve">🔴 Maior Q4 (N,N): TIC</w:t>
      </w:r>
      <w:r>
        <w:br/>
      </w:r>
      <w:r>
        <w:rPr>
          <w:rStyle w:val="VerbatimChar"/>
        </w:rPr>
        <w:t xml:space="preserve">   └── 39.6% (18772 projetos)</w:t>
      </w:r>
      <w:r>
        <w:br/>
      </w:r>
      <w:r>
        <w:br/>
      </w:r>
      <w:r>
        <w:rPr>
          <w:rStyle w:val="VerbatimChar"/>
        </w:rPr>
        <w:t xml:space="preserve">📊 ESTATÍSTICAS GERAIS:</w:t>
      </w:r>
      <w:r>
        <w:br/>
      </w:r>
      <w:r>
        <w:rPr>
          <w:rStyle w:val="VerbatimChar"/>
        </w:rPr>
        <w:t xml:space="preserve">└── Concordância média entre setores: 84.0%</w:t>
      </w:r>
      <w:r>
        <w:br/>
      </w:r>
      <w:r>
        <w:rPr>
          <w:rStyle w:val="VerbatimChar"/>
        </w:rPr>
        <w:t xml:space="preserve">└── Discordância média entre setores: 16.0%</w:t>
      </w:r>
      <w:r>
        <w:br/>
      </w:r>
      <w:r>
        <w:rPr>
          <w:rStyle w:val="VerbatimChar"/>
        </w:rPr>
        <w:t xml:space="preserve">└── Variação na concordância: 3.9% (desvio padrão)</w:t>
      </w:r>
      <w:r>
        <w:br/>
      </w:r>
      <w:r>
        <w:br/>
      </w:r>
      <w:r>
        <w:rPr>
          <w:rStyle w:val="VerbatimChar"/>
        </w:rPr>
        <w:t xml:space="preserve">💾 Resultados exportados para 'quadrantes_por_setor.csv'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HEATMAP POR SETOR CONCLUÍDO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</w:p>
    <w:bookmarkEnd w:id="62"/>
    <w:bookmarkStart w:id="69" w:name="X3f2a121d48acde33aae827794c342fe5e2b011a"/>
    <w:p>
      <w:pPr>
        <w:pStyle w:val="Heading3"/>
      </w:pPr>
      <w:r>
        <w:t xml:space="preserve">Análise dos quadrantes por Setor ao longo dos Anos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HEATMAP DOS QUADRANTES DE DECISÃO - ANÁLISE POR SETOR E ANO</w:t>
      </w:r>
      <w:r>
        <w:br/>
      </w:r>
      <w:r>
        <w:rPr>
          <w:rStyle w:val="VerbatimChar"/>
        </w:rPr>
        <w:t xml:space="preserve">Lei do Bem: Evolução Temporal por Setor (2018-2022)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📊 Projetos válidos para análise: 68,443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ANÁLISE DO ANO: 2018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Projetos no ano 2018: 10,852</w:t>
      </w:r>
      <w:r>
        <w:br/>
      </w:r>
      <w:r>
        <w:br/>
      </w:r>
      <w:r>
        <w:rPr>
          <w:rStyle w:val="VerbatimChar"/>
        </w:rPr>
        <w:t xml:space="preserve">📊 Estatísticas 2018:</w:t>
      </w:r>
      <w:r>
        <w:br/>
      </w:r>
      <w:r>
        <w:rPr>
          <w:rStyle w:val="VerbatimChar"/>
        </w:rPr>
        <w:t xml:space="preserve">├── Concordância média: 68.7%</w:t>
      </w:r>
      <w:r>
        <w:br/>
      </w:r>
      <w:r>
        <w:rPr>
          <w:rStyle w:val="VerbatimChar"/>
        </w:rPr>
        <w:t xml:space="preserve">├── Discordância média: 31.3%</w:t>
      </w:r>
      <w:r>
        <w:br/>
      </w:r>
      <w:r>
        <w:rPr>
          <w:rStyle w:val="VerbatimChar"/>
        </w:rPr>
        <w:t xml:space="preserve">├── Setor com maior concordância: Química e Farmácia (80.0%)</w:t>
      </w:r>
      <w:r>
        <w:br/>
      </w:r>
      <w:r>
        <w:rPr>
          <w:rStyle w:val="VerbatimChar"/>
        </w:rPr>
        <w:t xml:space="preserve">└── Setor com maior discordância: Agroindústria e Alimentos (40.8%)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ANÁLISE DO ANO: 2019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Projetos no ano 2019: 12,168</w:t>
      </w:r>
      <w:r>
        <w:br/>
      </w:r>
      <w:r>
        <w:br/>
      </w:r>
      <w:r>
        <w:rPr>
          <w:rStyle w:val="VerbatimChar"/>
        </w:rPr>
        <w:t xml:space="preserve">📊 Estatísticas 2019:</w:t>
      </w:r>
      <w:r>
        <w:br/>
      </w:r>
      <w:r>
        <w:rPr>
          <w:rStyle w:val="VerbatimChar"/>
        </w:rPr>
        <w:t xml:space="preserve">├── Concordância média: 84.5%</w:t>
      </w:r>
      <w:r>
        <w:br/>
      </w:r>
      <w:r>
        <w:rPr>
          <w:rStyle w:val="VerbatimChar"/>
        </w:rPr>
        <w:t xml:space="preserve">├── Discordância média: 15.5%</w:t>
      </w:r>
      <w:r>
        <w:br/>
      </w:r>
      <w:r>
        <w:rPr>
          <w:rStyle w:val="VerbatimChar"/>
        </w:rPr>
        <w:t xml:space="preserve">├── Setor com maior concordância: Mecânica e Transporte (93.0%)</w:t>
      </w:r>
      <w:r>
        <w:br/>
      </w:r>
      <w:r>
        <w:rPr>
          <w:rStyle w:val="VerbatimChar"/>
        </w:rPr>
        <w:t xml:space="preserve">└── Setor com maior discordância: Eletroeletrônica (25.9%)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ANÁLISE DO ANO: 2020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Projetos no ano 2020: 11,653</w:t>
      </w:r>
      <w:r>
        <w:br/>
      </w:r>
      <w:r>
        <w:br/>
      </w:r>
      <w:r>
        <w:rPr>
          <w:rStyle w:val="VerbatimChar"/>
        </w:rPr>
        <w:t xml:space="preserve">📊 Estatísticas 2020:</w:t>
      </w:r>
      <w:r>
        <w:br/>
      </w:r>
      <w:r>
        <w:rPr>
          <w:rStyle w:val="VerbatimChar"/>
        </w:rPr>
        <w:t xml:space="preserve">├── Concordância média: 91.9%</w:t>
      </w:r>
      <w:r>
        <w:br/>
      </w:r>
      <w:r>
        <w:rPr>
          <w:rStyle w:val="VerbatimChar"/>
        </w:rPr>
        <w:t xml:space="preserve">├── Discordância média: 8.1%</w:t>
      </w:r>
      <w:r>
        <w:br/>
      </w:r>
      <w:r>
        <w:rPr>
          <w:rStyle w:val="VerbatimChar"/>
        </w:rPr>
        <w:t xml:space="preserve">├── Setor com maior concordância: Química e Farmácia (97.1%)</w:t>
      </w:r>
      <w:r>
        <w:br/>
      </w:r>
      <w:r>
        <w:rPr>
          <w:rStyle w:val="VerbatimChar"/>
        </w:rPr>
        <w:t xml:space="preserve">└── Setor com maior discordância: Mecânica e Transporte (17.6%)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ANÁLISE DO ANO: 2021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Projetos no ano 2021: 13,194</w:t>
      </w:r>
      <w:r>
        <w:br/>
      </w:r>
      <w:r>
        <w:br/>
      </w:r>
      <w:r>
        <w:rPr>
          <w:rStyle w:val="VerbatimChar"/>
        </w:rPr>
        <w:t xml:space="preserve">📊 Estatísticas 2021:</w:t>
      </w:r>
      <w:r>
        <w:br/>
      </w:r>
      <w:r>
        <w:rPr>
          <w:rStyle w:val="VerbatimChar"/>
        </w:rPr>
        <w:t xml:space="preserve">├── Concordância média: 82.2%</w:t>
      </w:r>
      <w:r>
        <w:br/>
      </w:r>
      <w:r>
        <w:rPr>
          <w:rStyle w:val="VerbatimChar"/>
        </w:rPr>
        <w:t xml:space="preserve">├── Discordância média: 17.8%</w:t>
      </w:r>
      <w:r>
        <w:br/>
      </w:r>
      <w:r>
        <w:rPr>
          <w:rStyle w:val="VerbatimChar"/>
        </w:rPr>
        <w:t xml:space="preserve">├── Setor com maior concordância: Química e Farmácia (92.3%)</w:t>
      </w:r>
      <w:r>
        <w:br/>
      </w:r>
      <w:r>
        <w:rPr>
          <w:rStyle w:val="VerbatimChar"/>
        </w:rPr>
        <w:t xml:space="preserve">└── Setor com maior discordância: TIC (36.8%)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ANÁLISE DO ANO: 2022</w:t>
      </w:r>
      <w:r>
        <w:br/>
      </w:r>
      <w:r>
        <w:rPr>
          <w:rStyle w:val="VerbatimChar"/>
        </w:rPr>
        <w:t xml:space="preserve">============================================================</w:t>
      </w:r>
      <w:r>
        <w:br/>
      </w:r>
      <w:r>
        <w:rPr>
          <w:rStyle w:val="VerbatimChar"/>
        </w:rPr>
        <w:t xml:space="preserve">📊 Projetos no ano 2022: 13,786</w:t>
      </w:r>
      <w:r>
        <w:br/>
      </w:r>
      <w:r>
        <w:br/>
      </w:r>
      <w:r>
        <w:rPr>
          <w:rStyle w:val="VerbatimChar"/>
        </w:rPr>
        <w:t xml:space="preserve">📊 Estatísticas 2022:</w:t>
      </w:r>
      <w:r>
        <w:br/>
      </w:r>
      <w:r>
        <w:rPr>
          <w:rStyle w:val="VerbatimChar"/>
        </w:rPr>
        <w:t xml:space="preserve">├── Concordância média: 84.3%</w:t>
      </w:r>
      <w:r>
        <w:br/>
      </w:r>
      <w:r>
        <w:rPr>
          <w:rStyle w:val="VerbatimChar"/>
        </w:rPr>
        <w:t xml:space="preserve">├── Discordância média: 15.7%</w:t>
      </w:r>
      <w:r>
        <w:br/>
      </w:r>
      <w:r>
        <w:rPr>
          <w:rStyle w:val="VerbatimChar"/>
        </w:rPr>
        <w:t xml:space="preserve">├── Setor com maior concordância: Eletroeletrônica (99.2%)</w:t>
      </w:r>
      <w:r>
        <w:br/>
      </w:r>
      <w:r>
        <w:rPr>
          <w:rStyle w:val="VerbatimChar"/>
        </w:rPr>
        <w:t xml:space="preserve">└── Setor com maior discordância: Transversal (26.6%)</w:t>
      </w:r>
    </w:p>
    <w:p>
      <w:pPr>
        <w:pStyle w:val="FirstParagraph"/>
      </w:pPr>
      <w:r>
        <w:drawing>
          <wp:inline>
            <wp:extent cx="5334000" cy="6874565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2-output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2547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2-output-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VerbatimChar"/>
        </w:rPr>
        <w:t xml:space="preserve">🔍 ANÁLISE DE TENDÊNCIAS TEMPORAIS POR SETOR: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TIC:</w:t>
      </w:r>
      <w:r>
        <w:br/>
      </w:r>
      <w:r>
        <w:rPr>
          <w:rStyle w:val="VerbatimChar"/>
        </w:rPr>
        <w:t xml:space="preserve">├── 2018: 61.1% → 2022: 82.2%</w:t>
      </w:r>
      <w:r>
        <w:br/>
      </w:r>
      <w:r>
        <w:rPr>
          <w:rStyle w:val="VerbatimChar"/>
        </w:rPr>
        <w:t xml:space="preserve">├── Variação: +21.0%</w:t>
      </w:r>
      <w:r>
        <w:br/>
      </w:r>
      <w:r>
        <w:rPr>
          <w:rStyle w:val="VerbatimChar"/>
        </w:rPr>
        <w:t xml:space="preserve">└── Tendência: 📈 Aumento</w:t>
      </w:r>
      <w:r>
        <w:br/>
      </w:r>
      <w:r>
        <w:br/>
      </w:r>
      <w:r>
        <w:rPr>
          <w:rStyle w:val="VerbatimChar"/>
        </w:rPr>
        <w:t xml:space="preserve">Química e Farmácia:</w:t>
      </w:r>
      <w:r>
        <w:br/>
      </w:r>
      <w:r>
        <w:rPr>
          <w:rStyle w:val="VerbatimChar"/>
        </w:rPr>
        <w:t xml:space="preserve">├── 2018: 80.0% → 2022: 90.5%</w:t>
      </w:r>
      <w:r>
        <w:br/>
      </w:r>
      <w:r>
        <w:rPr>
          <w:rStyle w:val="VerbatimChar"/>
        </w:rPr>
        <w:t xml:space="preserve">├── Variação: +10.5%</w:t>
      </w:r>
      <w:r>
        <w:br/>
      </w:r>
      <w:r>
        <w:rPr>
          <w:rStyle w:val="VerbatimChar"/>
        </w:rPr>
        <w:t xml:space="preserve">└── Tendência: 📈 Aumento</w:t>
      </w:r>
      <w:r>
        <w:br/>
      </w:r>
      <w:r>
        <w:br/>
      </w:r>
      <w:r>
        <w:rPr>
          <w:rStyle w:val="VerbatimChar"/>
        </w:rPr>
        <w:t xml:space="preserve">Mecânica e Transporte:</w:t>
      </w:r>
      <w:r>
        <w:br/>
      </w:r>
      <w:r>
        <w:rPr>
          <w:rStyle w:val="VerbatimChar"/>
        </w:rPr>
        <w:t xml:space="preserve">├── 2018: 62.2% → 2022: 82.4%</w:t>
      </w:r>
      <w:r>
        <w:br/>
      </w:r>
      <w:r>
        <w:rPr>
          <w:rStyle w:val="VerbatimChar"/>
        </w:rPr>
        <w:t xml:space="preserve">├── Variação: +20.3%</w:t>
      </w:r>
      <w:r>
        <w:br/>
      </w:r>
      <w:r>
        <w:rPr>
          <w:rStyle w:val="VerbatimChar"/>
        </w:rPr>
        <w:t xml:space="preserve">└── Tendência: 📈 Aumento</w:t>
      </w:r>
      <w:r>
        <w:br/>
      </w:r>
      <w:r>
        <w:br/>
      </w:r>
      <w:r>
        <w:rPr>
          <w:rStyle w:val="VerbatimChar"/>
        </w:rPr>
        <w:t xml:space="preserve">Agroindústria e Alimentos:</w:t>
      </w:r>
      <w:r>
        <w:br/>
      </w:r>
      <w:r>
        <w:rPr>
          <w:rStyle w:val="VerbatimChar"/>
        </w:rPr>
        <w:t xml:space="preserve">├── 2018: 59.2% → 2022: 86.1%</w:t>
      </w:r>
      <w:r>
        <w:br/>
      </w:r>
      <w:r>
        <w:rPr>
          <w:rStyle w:val="VerbatimChar"/>
        </w:rPr>
        <w:t xml:space="preserve">├── Variação: +26.9%</w:t>
      </w:r>
      <w:r>
        <w:br/>
      </w:r>
      <w:r>
        <w:rPr>
          <w:rStyle w:val="VerbatimChar"/>
        </w:rPr>
        <w:t xml:space="preserve">└── Tendência: 📈 Aumento</w:t>
      </w:r>
      <w:r>
        <w:br/>
      </w:r>
      <w:r>
        <w:br/>
      </w:r>
      <w:r>
        <w:rPr>
          <w:rStyle w:val="VerbatimChar"/>
        </w:rPr>
        <w:t xml:space="preserve">Transversal:</w:t>
      </w:r>
      <w:r>
        <w:br/>
      </w:r>
      <w:r>
        <w:rPr>
          <w:rStyle w:val="VerbatimChar"/>
        </w:rPr>
        <w:t xml:space="preserve">├── 2018: 70.2% → 2022: 73.4%</w:t>
      </w:r>
      <w:r>
        <w:br/>
      </w:r>
      <w:r>
        <w:rPr>
          <w:rStyle w:val="VerbatimChar"/>
        </w:rPr>
        <w:t xml:space="preserve">├── Variação: +3.2%</w:t>
      </w:r>
      <w:r>
        <w:br/>
      </w:r>
      <w:r>
        <w:rPr>
          <w:rStyle w:val="VerbatimChar"/>
        </w:rPr>
        <w:t xml:space="preserve">└── Tendência: ➡️ Estável</w:t>
      </w:r>
      <w:r>
        <w:br/>
      </w:r>
      <w:r>
        <w:br/>
      </w:r>
      <w:r>
        <w:rPr>
          <w:rStyle w:val="VerbatimChar"/>
        </w:rPr>
        <w:t xml:space="preserve">Eletroeletrônica:</w:t>
      </w:r>
      <w:r>
        <w:br/>
      </w:r>
      <w:r>
        <w:rPr>
          <w:rStyle w:val="VerbatimChar"/>
        </w:rPr>
        <w:t xml:space="preserve">├── 2018: 70.3% → 2022: 99.2%</w:t>
      </w:r>
      <w:r>
        <w:br/>
      </w:r>
      <w:r>
        <w:rPr>
          <w:rStyle w:val="VerbatimChar"/>
        </w:rPr>
        <w:t xml:space="preserve">├── Variação: +28.9%</w:t>
      </w:r>
      <w:r>
        <w:br/>
      </w:r>
      <w:r>
        <w:rPr>
          <w:rStyle w:val="VerbatimChar"/>
        </w:rPr>
        <w:t xml:space="preserve">└── Tendência: 📈 Aumento</w:t>
      </w:r>
      <w:r>
        <w:br/>
      </w:r>
      <w:r>
        <w:br/>
      </w:r>
      <w:r>
        <w:rPr>
          <w:rStyle w:val="VerbatimChar"/>
        </w:rPr>
        <w:t xml:space="preserve">Metalurgia e Mineração:</w:t>
      </w:r>
      <w:r>
        <w:br/>
      </w:r>
      <w:r>
        <w:rPr>
          <w:rStyle w:val="VerbatimChar"/>
        </w:rPr>
        <w:t xml:space="preserve">├── 2018: 77.8% → 2022: 76.1%</w:t>
      </w:r>
      <w:r>
        <w:br/>
      </w:r>
      <w:r>
        <w:rPr>
          <w:rStyle w:val="VerbatimChar"/>
        </w:rPr>
        <w:t xml:space="preserve">├── Variação: -1.7%</w:t>
      </w:r>
      <w:r>
        <w:br/>
      </w:r>
      <w:r>
        <w:rPr>
          <w:rStyle w:val="VerbatimChar"/>
        </w:rPr>
        <w:t xml:space="preserve">└── Tendência: ➡️ Estável</w:t>
      </w:r>
      <w:r>
        <w:br/>
      </w:r>
      <w:r>
        <w:br/>
      </w:r>
      <w:r>
        <w:br/>
      </w:r>
      <w:r>
        <w:rPr>
          <w:rStyle w:val="VerbatimChar"/>
        </w:rPr>
        <w:t xml:space="preserve">📊 TABELA COMPARATIVA: CONCORDÂNCIA POR SETOR E ANO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Setor                                  2018         2019         2020         2021         2022        Média</w:t>
      </w:r>
      <w:r>
        <w:br/>
      </w:r>
      <w:r>
        <w:rPr>
          <w:rStyle w:val="VerbatimChar"/>
        </w:rPr>
        <w:t xml:space="preserve">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TIC                                  61.1%       80.8%       96.4%       63.2%       82.2%       76.7%</w:t>
      </w:r>
      <w:r>
        <w:br/>
      </w:r>
      <w:r>
        <w:rPr>
          <w:rStyle w:val="VerbatimChar"/>
        </w:rPr>
        <w:t xml:space="preserve">Química e Farmácia                   80.0%       91.5%       97.1%       92.3%       90.5%       90.3%</w:t>
      </w:r>
      <w:r>
        <w:br/>
      </w:r>
      <w:r>
        <w:rPr>
          <w:rStyle w:val="VerbatimChar"/>
        </w:rPr>
        <w:t xml:space="preserve">Mecânica e Transporte                62.2%       93.0%       82.4%       83.6%       82.4%       80.7%</w:t>
      </w:r>
      <w:r>
        <w:br/>
      </w:r>
      <w:r>
        <w:rPr>
          <w:rStyle w:val="VerbatimChar"/>
        </w:rPr>
        <w:t xml:space="preserve">Agroindústria e Alimentos            59.2%       89.2%       94.1%       75.8%       86.1%       80.9%</w:t>
      </w:r>
      <w:r>
        <w:br/>
      </w:r>
      <w:r>
        <w:rPr>
          <w:rStyle w:val="VerbatimChar"/>
        </w:rPr>
        <w:t xml:space="preserve">Transversal                          70.2%       81.1%       92.8%       80.4%       73.4%       79.6%</w:t>
      </w:r>
      <w:r>
        <w:br/>
      </w:r>
      <w:r>
        <w:rPr>
          <w:rStyle w:val="VerbatimChar"/>
        </w:rPr>
        <w:t xml:space="preserve">Eletroeletrônica                     70.3%       74.1%       94.4%       88.5%       99.2%       85.3%</w:t>
      </w:r>
      <w:r>
        <w:br/>
      </w:r>
      <w:r>
        <w:rPr>
          <w:rStyle w:val="VerbatimChar"/>
        </w:rPr>
        <w:t xml:space="preserve">Metalurgia e Mineração               77.8%       81.7%       86.4%       91.4%       76.1%       82.7%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💾 Dados exportados para 'evolucao_quadrantes_setor_ano.csv'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TEMPORAL POR SETOR CONCLUÍDA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</w:p>
    <w:bookmarkEnd w:id="69"/>
    <w:bookmarkStart w:id="70" w:name="análise-por-setor"/>
    <w:p>
      <w:pPr>
        <w:pStyle w:val="Heading3"/>
      </w:pPr>
      <w:r>
        <w:t xml:space="preserve">Análise por Setor</w:t>
      </w:r>
    </w:p>
    <w:p>
      <w:pPr>
        <w:pStyle w:val="FirstParagraph"/>
      </w:pPr>
      <w:r>
        <w:t xml:space="preserve">Este bloco de código executa uma análise detalhada das taxas de aprovação de projetos organizados por área/setor. O código primeiro padroniza as decisões dos avaliadores (analista/DO e parecerista/Parecer) em três categorias:</w:t>
      </w:r>
      <w:r>
        <w:t xml:space="preserve"> </w:t>
      </w:r>
      <w:r>
        <w:t xml:space="preserve">“</w:t>
      </w:r>
      <w:r>
        <w:t xml:space="preserve">Recomendado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Não Recomendado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Outro</w:t>
      </w:r>
      <w:r>
        <w:t xml:space="preserve">”</w:t>
      </w:r>
      <w:r>
        <w:t xml:space="preserve">. Em seguida, filtra os dados para incluir apenas projetos com área definida, resultando em 68.443 projetos válidos distribuídos em 7 áreas únicas.</w:t>
      </w:r>
    </w:p>
    <w:p>
      <w:pPr>
        <w:pStyle w:val="BodyText"/>
      </w:pPr>
      <w:r>
        <w:t xml:space="preserve">A saída apresenta a distribuição das áreas ordenadas por volume, sendo TIC a maior com 18.772 projetos, seguida por Química e Farmácia com 12.845 projetos. O código calcula estatísticas gerais mostrando uma taxa média de aprovação de 61,3% na fase DO e 63,6% na fase Parecer, com uma diferença média positiva de 2,3% entre as fases.</w:t>
      </w:r>
    </w:p>
    <w:p>
      <w:pPr>
        <w:pStyle w:val="BodyText"/>
      </w:pPr>
      <w:r>
        <w:t xml:space="preserve">A tabela principal exibe as 20 principais áreas por volume, mostrando para cada uma: o total de projetos, as taxas de aprovação em cada fase (DO e Parecer), a diferença percentual entre as fases e o número de projetos que mudaram de decisão entre as avaliações. Por exemplo, TIC apresenta 19,6% de projetos que mudaram de decisão (3.676 de 18.772 projetos).</w:t>
      </w:r>
    </w:p>
    <w:p>
      <w:pPr>
        <w:pStyle w:val="BodyText"/>
      </w:pPr>
      <w:r>
        <w:t xml:space="preserve">A seção de destaques identifica padrões importantes: áreas com maiores taxas de aprovação em cada fase, áreas com maior queda ou aumento entre as fases DO e Parecer, e áreas com maior taxa de mudança de decisão. Metalurgia e Mineração lidera com 15,9% de projetos que mudaram de decisão, indicando maior discordância entre avaliadores neste setor. O código fornece uma visão abrangente do desempenho de aprovação por setor e identifica onde há maior convergência ou divergência entre as duas fases de avaliação.</w:t>
      </w:r>
    </w:p>
    <w:p>
      <w:pPr>
        <w:pStyle w:val="SourceCode"/>
      </w:pPr>
      <w:r>
        <w:br/>
      </w:r>
      <w:r>
        <w:rPr>
          <w:rStyle w:val="VerbatimChar"/>
        </w:rPr>
        <w:t xml:space="preserve">📊 ANÁLISE DE APROVAÇÃO POR ÁREA DO PROJETO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✅ Usando coluna 'do_set_nosetor' (Área do Projeto)</w:t>
      </w:r>
      <w:r>
        <w:br/>
      </w:r>
      <w:r>
        <w:rPr>
          <w:rStyle w:val="VerbatimChar"/>
        </w:rPr>
        <w:t xml:space="preserve">📊 Projetos com área definida: 68,443</w:t>
      </w:r>
      <w:r>
        <w:br/>
      </w:r>
      <w:r>
        <w:br/>
      </w:r>
      <w:r>
        <w:rPr>
          <w:rStyle w:val="VerbatimChar"/>
        </w:rPr>
        <w:t xml:space="preserve">📊 Distribuição das Áreas de Projeto:</w:t>
      </w:r>
      <w:r>
        <w:br/>
      </w:r>
      <w:r>
        <w:rPr>
          <w:rStyle w:val="VerbatimChar"/>
        </w:rPr>
        <w:t xml:space="preserve">Total de áreas únicas: 7</w:t>
      </w:r>
      <w:r>
        <w:br/>
      </w:r>
      <w:r>
        <w:br/>
      </w:r>
      <w:r>
        <w:rPr>
          <w:rStyle w:val="VerbatimChar"/>
        </w:rPr>
        <w:t xml:space="preserve">Top 15 áreas por volume:</w:t>
      </w:r>
      <w:r>
        <w:br/>
      </w:r>
      <w:r>
        <w:rPr>
          <w:rStyle w:val="VerbatimChar"/>
        </w:rPr>
        <w:t xml:space="preserve"> 1. TIC: 18,772 projetos</w:t>
      </w:r>
      <w:r>
        <w:br/>
      </w:r>
      <w:r>
        <w:rPr>
          <w:rStyle w:val="VerbatimChar"/>
        </w:rPr>
        <w:t xml:space="preserve"> 2. Química e Farmácia: 12,845 projetos</w:t>
      </w:r>
      <w:r>
        <w:br/>
      </w:r>
      <w:r>
        <w:rPr>
          <w:rStyle w:val="VerbatimChar"/>
        </w:rPr>
        <w:t xml:space="preserve"> 3. Mecânica e Transporte: 9,068 projetos</w:t>
      </w:r>
      <w:r>
        <w:br/>
      </w:r>
      <w:r>
        <w:rPr>
          <w:rStyle w:val="VerbatimChar"/>
        </w:rPr>
        <w:t xml:space="preserve"> 4. Agroindústria e Alimentos: 8,144 projetos</w:t>
      </w:r>
      <w:r>
        <w:br/>
      </w:r>
      <w:r>
        <w:rPr>
          <w:rStyle w:val="VerbatimChar"/>
        </w:rPr>
        <w:t xml:space="preserve"> 5. Transversal: 7,467 projetos</w:t>
      </w:r>
      <w:r>
        <w:br/>
      </w:r>
      <w:r>
        <w:rPr>
          <w:rStyle w:val="VerbatimChar"/>
        </w:rPr>
        <w:t xml:space="preserve"> 6. Eletroeletrônica: 7,158 projetos</w:t>
      </w:r>
      <w:r>
        <w:br/>
      </w:r>
      <w:r>
        <w:rPr>
          <w:rStyle w:val="VerbatimChar"/>
        </w:rPr>
        <w:t xml:space="preserve"> 7. Metalurgia e Mineração: 4,989 projetos</w:t>
      </w:r>
      <w:r>
        <w:br/>
      </w:r>
      <w:r>
        <w:br/>
      </w:r>
      <w:r>
        <w:rPr>
          <w:rStyle w:val="VerbatimChar"/>
        </w:rPr>
        <w:t xml:space="preserve">📊 ESTATÍSTICAS GERAIS:</w:t>
      </w:r>
      <w:r>
        <w:br/>
      </w:r>
      <w:r>
        <w:rPr>
          <w:rStyle w:val="VerbatimChar"/>
        </w:rPr>
        <w:t xml:space="preserve">Total de áreas analisadas: 7</w:t>
      </w:r>
      <w:r>
        <w:br/>
      </w:r>
      <w:r>
        <w:rPr>
          <w:rStyle w:val="VerbatimChar"/>
        </w:rPr>
        <w:t xml:space="preserve">Taxa média de aprovação DO: 61.3%</w:t>
      </w:r>
      <w:r>
        <w:br/>
      </w:r>
      <w:r>
        <w:rPr>
          <w:rStyle w:val="VerbatimChar"/>
        </w:rPr>
        <w:t xml:space="preserve">Taxa média de aprovação Parecer: 63.6%</w:t>
      </w:r>
      <w:r>
        <w:br/>
      </w:r>
      <w:r>
        <w:rPr>
          <w:rStyle w:val="VerbatimChar"/>
        </w:rPr>
        <w:t xml:space="preserve">Diferença média (Parecer - DO): 2.3%</w:t>
      </w:r>
      <w:r>
        <w:br/>
      </w:r>
      <w:r>
        <w:br/>
      </w:r>
      <w:r>
        <w:rPr>
          <w:rStyle w:val="VerbatimChar"/>
        </w:rPr>
        <w:t xml:space="preserve">📋 TABELA DE APROVAÇÃO POR ÁREA DO PROJETO (Top 20 por volume)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Área do Projeto                            Projetos      Taxa DO Taxa Parecer    Diferença    Mudaram</w:t>
      </w:r>
      <w:r>
        <w:br/>
      </w:r>
      <w:r>
        <w:rPr>
          <w:rStyle w:val="VerbatimChar"/>
        </w:rPr>
        <w:t xml:space="preserve">----------------------------------------------------------------------------------------------------------------------------------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TIC                                           18772        52.9%        48.4%        -4.6%       3676</w:t>
      </w:r>
      <w:r>
        <w:br/>
      </w:r>
      <w:r>
        <w:rPr>
          <w:rStyle w:val="VerbatimChar"/>
        </w:rPr>
        <w:t xml:space="preserve">Química e Farmácia                            12845        76.6%        78.8%         2.2%       1134</w:t>
      </w:r>
      <w:r>
        <w:br/>
      </w:r>
      <w:r>
        <w:rPr>
          <w:rStyle w:val="VerbatimChar"/>
        </w:rPr>
        <w:t xml:space="preserve">Mecânica e Transporte                          9068        59.1%        68.2%         9.1%       1634</w:t>
      </w:r>
      <w:r>
        <w:br/>
      </w:r>
      <w:r>
        <w:rPr>
          <w:rStyle w:val="VerbatimChar"/>
        </w:rPr>
        <w:t xml:space="preserve">Agroindústria e Alimentos                      8144        60.5%        59.6%        -1.0%       1308</w:t>
      </w:r>
      <w:r>
        <w:br/>
      </w:r>
      <w:r>
        <w:rPr>
          <w:rStyle w:val="VerbatimChar"/>
        </w:rPr>
        <w:t xml:space="preserve">Transversal                                    7467        58.5%        55.2%        -3.3%       1509</w:t>
      </w:r>
      <w:r>
        <w:br/>
      </w:r>
      <w:r>
        <w:rPr>
          <w:rStyle w:val="VerbatimChar"/>
        </w:rPr>
        <w:t xml:space="preserve">Eletroeletrônica                               7158        58.6%        67.4%         8.9%        949</w:t>
      </w:r>
      <w:r>
        <w:br/>
      </w:r>
      <w:r>
        <w:rPr>
          <w:rStyle w:val="VerbatimChar"/>
        </w:rPr>
        <w:t xml:space="preserve">Metalurgia e Mineração                         4989        62.8%        67.6%         4.8%        791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🔍 DESTAQUES DA ANÁLISE POR ÁREA DO PROJETO:</w:t>
      </w:r>
      <w:r>
        <w:br/>
      </w:r>
      <w:r>
        <w:br/>
      </w:r>
      <w:r>
        <w:rPr>
          <w:rStyle w:val="VerbatimChar"/>
        </w:rPr>
        <w:t xml:space="preserve">Áreas com MAIOR taxa de aprovação no DO:</w:t>
      </w:r>
      <w:r>
        <w:br/>
      </w:r>
      <w:r>
        <w:rPr>
          <w:rStyle w:val="VerbatimChar"/>
        </w:rPr>
        <w:t xml:space="preserve">  - Química e Farmácia: 76.6% (12845 projetos)</w:t>
      </w:r>
      <w:r>
        <w:br/>
      </w:r>
      <w:r>
        <w:rPr>
          <w:rStyle w:val="VerbatimChar"/>
        </w:rPr>
        <w:t xml:space="preserve">  - Metalurgia e Mineração: 62.8% (4989 projetos)</w:t>
      </w:r>
      <w:r>
        <w:br/>
      </w:r>
      <w:r>
        <w:rPr>
          <w:rStyle w:val="VerbatimChar"/>
        </w:rPr>
        <w:t xml:space="preserve">  - Agroindústria e Alimentos: 60.5% (8144 projetos)</w:t>
      </w:r>
      <w:r>
        <w:br/>
      </w:r>
      <w:r>
        <w:rPr>
          <w:rStyle w:val="VerbatimChar"/>
        </w:rPr>
        <w:t xml:space="preserve">  - Mecânica e Transporte: 59.1% (9068 projetos)</w:t>
      </w:r>
      <w:r>
        <w:br/>
      </w:r>
      <w:r>
        <w:rPr>
          <w:rStyle w:val="VerbatimChar"/>
        </w:rPr>
        <w:t xml:space="preserve">  - Eletroeletrônica: 58.6% (7158 projetos)</w:t>
      </w:r>
      <w:r>
        <w:br/>
      </w:r>
      <w:r>
        <w:br/>
      </w:r>
      <w:r>
        <w:rPr>
          <w:rStyle w:val="VerbatimChar"/>
        </w:rPr>
        <w:t xml:space="preserve">Áreas com MAIOR taxa de aprovação no Parecer:</w:t>
      </w:r>
      <w:r>
        <w:br/>
      </w:r>
      <w:r>
        <w:rPr>
          <w:rStyle w:val="VerbatimChar"/>
        </w:rPr>
        <w:t xml:space="preserve">  - Química e Farmácia: 78.8% (12845 projetos)</w:t>
      </w:r>
      <w:r>
        <w:br/>
      </w:r>
      <w:r>
        <w:rPr>
          <w:rStyle w:val="VerbatimChar"/>
        </w:rPr>
        <w:t xml:space="preserve">  - Mecânica e Transporte: 68.2% (9068 projetos)</w:t>
      </w:r>
      <w:r>
        <w:br/>
      </w:r>
      <w:r>
        <w:rPr>
          <w:rStyle w:val="VerbatimChar"/>
        </w:rPr>
        <w:t xml:space="preserve">  - Metalurgia e Mineração: 67.6% (4989 projetos)</w:t>
      </w:r>
      <w:r>
        <w:br/>
      </w:r>
      <w:r>
        <w:rPr>
          <w:rStyle w:val="VerbatimChar"/>
        </w:rPr>
        <w:t xml:space="preserve">  - Eletroeletrônica: 67.4% (7158 projetos)</w:t>
      </w:r>
      <w:r>
        <w:br/>
      </w:r>
      <w:r>
        <w:rPr>
          <w:rStyle w:val="VerbatimChar"/>
        </w:rPr>
        <w:t xml:space="preserve">  - Agroindústria e Alimentos: 59.6% (8144 projetos)</w:t>
      </w:r>
      <w:r>
        <w:br/>
      </w:r>
      <w:r>
        <w:br/>
      </w:r>
      <w:r>
        <w:rPr>
          <w:rStyle w:val="VerbatimChar"/>
        </w:rPr>
        <w:t xml:space="preserve">Áreas com MAIOR QUEDA entre DO e Parecer:</w:t>
      </w:r>
      <w:r>
        <w:br/>
      </w:r>
      <w:r>
        <w:rPr>
          <w:rStyle w:val="VerbatimChar"/>
        </w:rPr>
        <w:t xml:space="preserve">  - TIC: -4.6% de queda (18772 projetos)</w:t>
      </w:r>
      <w:r>
        <w:br/>
      </w:r>
      <w:r>
        <w:rPr>
          <w:rStyle w:val="VerbatimChar"/>
        </w:rPr>
        <w:t xml:space="preserve">  - Transversal: -3.3% de queda (7467 projetos)</w:t>
      </w:r>
      <w:r>
        <w:br/>
      </w:r>
      <w:r>
        <w:rPr>
          <w:rStyle w:val="VerbatimChar"/>
        </w:rPr>
        <w:t xml:space="preserve">  - Agroindústria e Alimentos: -1.0% de queda (8144 projetos)</w:t>
      </w:r>
      <w:r>
        <w:br/>
      </w:r>
      <w:r>
        <w:br/>
      </w:r>
      <w:r>
        <w:rPr>
          <w:rStyle w:val="VerbatimChar"/>
        </w:rPr>
        <w:t xml:space="preserve">Áreas com MAIOR AUMENTO entre DO e Parecer:</w:t>
      </w:r>
      <w:r>
        <w:br/>
      </w:r>
      <w:r>
        <w:rPr>
          <w:rStyle w:val="VerbatimChar"/>
        </w:rPr>
        <w:t xml:space="preserve">  - Mecânica e Transporte: +9.1% de aumento (9068 projetos)</w:t>
      </w:r>
      <w:r>
        <w:br/>
      </w:r>
      <w:r>
        <w:rPr>
          <w:rStyle w:val="VerbatimChar"/>
        </w:rPr>
        <w:t xml:space="preserve">  - Eletroeletrônica: +8.9% de aumento (7158 projetos)</w:t>
      </w:r>
      <w:r>
        <w:br/>
      </w:r>
      <w:r>
        <w:rPr>
          <w:rStyle w:val="VerbatimChar"/>
        </w:rPr>
        <w:t xml:space="preserve">  - Metalurgia e Mineração: +4.8% de aumento (4989 projetos)</w:t>
      </w:r>
      <w:r>
        <w:br/>
      </w:r>
      <w:r>
        <w:rPr>
          <w:rStyle w:val="VerbatimChar"/>
        </w:rPr>
        <w:t xml:space="preserve">  - Química e Farmácia: +2.2% de aumento (12845 projetos)</w:t>
      </w:r>
      <w:r>
        <w:br/>
      </w:r>
      <w:r>
        <w:br/>
      </w:r>
      <w:r>
        <w:rPr>
          <w:rStyle w:val="VerbatimChar"/>
        </w:rPr>
        <w:t xml:space="preserve">Áreas com MAIOR taxa de mudança de decisão:</w:t>
      </w:r>
      <w:r>
        <w:br/>
      </w:r>
      <w:r>
        <w:rPr>
          <w:rStyle w:val="VerbatimChar"/>
        </w:rPr>
        <w:t xml:space="preserve">  - Transversal: 20.2% mudaram decisão (1509 de 7467 projetos)</w:t>
      </w:r>
      <w:r>
        <w:br/>
      </w:r>
      <w:r>
        <w:rPr>
          <w:rStyle w:val="VerbatimChar"/>
        </w:rPr>
        <w:t xml:space="preserve">  - TIC: 19.6% mudaram decisão (3676 de 18772 projetos)</w:t>
      </w:r>
      <w:r>
        <w:br/>
      </w:r>
      <w:r>
        <w:rPr>
          <w:rStyle w:val="VerbatimChar"/>
        </w:rPr>
        <w:t xml:space="preserve">  - Mecânica e Transporte: 18.0% mudaram decisão (1634 de 9068 projetos)</w:t>
      </w:r>
      <w:r>
        <w:br/>
      </w:r>
      <w:r>
        <w:rPr>
          <w:rStyle w:val="VerbatimChar"/>
        </w:rPr>
        <w:t xml:space="preserve">  - Agroindústria e Alimentos: 16.1% mudaram decisão (1308 de 8144 projetos)</w:t>
      </w:r>
      <w:r>
        <w:br/>
      </w:r>
      <w:r>
        <w:rPr>
          <w:rStyle w:val="VerbatimChar"/>
        </w:rPr>
        <w:t xml:space="preserve">  - Metalurgia e Mineração: 15.9% mudaram decisão (791 de 4989 projetos)</w:t>
      </w:r>
    </w:p>
    <w:bookmarkEnd w:id="70"/>
    <w:bookmarkStart w:id="83" w:name="visualização-por-setor"/>
    <w:p>
      <w:pPr>
        <w:pStyle w:val="Heading3"/>
      </w:pPr>
      <w:r>
        <w:t xml:space="preserve">Visualização por Setor</w:t>
      </w:r>
    </w:p>
    <w:bookmarkStart w:id="74" w:name="Xba3f838fb6ffa95377ef2f2d6973cec450ab51e"/>
    <w:p>
      <w:pPr>
        <w:pStyle w:val="Heading4"/>
      </w:pPr>
      <w:r>
        <w:t xml:space="preserve">Gráfico 4.4 - Taxa de Aprovação por Área do Projeto: Comparação DO vs Parecer</w:t>
      </w:r>
    </w:p>
    <w:p>
      <w:pPr>
        <w:pStyle w:val="FirstParagraph"/>
      </w:pPr>
      <w:r>
        <w:t xml:space="preserve">Este gráfico de barras agrupadas compara as taxas de aprovação entre duas fases de avaliação (DO e Parecer) para as 15 áreas com maior volume de projetos. As barras azuis representam a taxa de aprovação na fase DO (primeira avaliação) e as barras vermelhas representam a taxa na fase Parecer (segunda avaliação). Cada par de barras corresponde a uma área específica, com os valores percentuais exibidos acima de cada barra. O eixo vertical mostra a taxa de aprovação em percentual, variando de 0 a 100%. As áreas estão ordenadas por volume total de projetos, sendo TIC a área com maior número de projetos analisados. A grade</w:t>
      </w:r>
      <w:r>
        <w:t xml:space="preserve"> </w:t>
      </w:r>
      <w:r>
        <w:t xml:space="preserve">horizontal facilita a leitura dos valores percentuais.</w:t>
      </w:r>
    </w:p>
    <w:p>
      <w:pPr>
        <w:pStyle w:val="BodyText"/>
      </w:pPr>
      <w:r>
        <w:drawing>
          <wp:inline>
            <wp:extent cx="5334000" cy="3319903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4-output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c2fcac4ccc334ff4d9975de67c09124dce33393"/>
    <w:p>
      <w:pPr>
        <w:pStyle w:val="Heading4"/>
      </w:pPr>
      <w:r>
        <w:t xml:space="preserve">Gráfico 4.5 - Correlação entre Taxas de Aprovação DO e Parecer por Área do Projeto</w:t>
      </w:r>
    </w:p>
    <w:p>
      <w:pPr>
        <w:pStyle w:val="FirstParagraph"/>
      </w:pPr>
      <w:r>
        <w:t xml:space="preserve">Este gráfico de dispersão mostra a relação entre as taxas de aprovação das duas fases de avaliação. No eixo horizontal está a</w:t>
      </w:r>
      <w:r>
        <w:t xml:space="preserve"> </w:t>
      </w:r>
      <w:r>
        <w:t xml:space="preserve">taxa de aprovação na fase DO e no eixo vertical a taxa na fase Parecer. Cada círculo representa uma área diferente, sendo que o</w:t>
      </w:r>
      <w:r>
        <w:t xml:space="preserve"> </w:t>
      </w:r>
      <w:r>
        <w:t xml:space="preserve">tamanho do círculo é proporcional ao número total de projetos daquela área (círculos maiores indicam áreas com mais projetos).</w:t>
      </w:r>
      <w:r>
        <w:t xml:space="preserve"> </w:t>
      </w:r>
      <w:r>
        <w:t xml:space="preserve">A cor dos círculos segue uma escala que vai do vermelho ao azul, representando a diferença percentual entre as taxas (Parecer</w:t>
      </w:r>
      <w:r>
        <w:t xml:space="preserve"> </w:t>
      </w:r>
      <w:r>
        <w:t xml:space="preserve">menos DO). A linha diagonal tracejada representa o ponto onde as taxas seriam iguais nas duas fases. Áreas específicas como</w:t>
      </w:r>
      <w:r>
        <w:t xml:space="preserve"> </w:t>
      </w:r>
      <w:r>
        <w:t xml:space="preserve">TIC, Química e Farmácia, e Mecânica e Transporte estão identificadas com rótulos devido ao seu volume significativo ou diferença</w:t>
      </w:r>
      <w:r>
        <w:t xml:space="preserve"> </w:t>
      </w:r>
      <w:r>
        <w:t xml:space="preserve">expressiva entre as fases.</w:t>
      </w:r>
    </w:p>
    <w:p>
      <w:pPr>
        <w:pStyle w:val="BodyText"/>
      </w:pPr>
      <w:r>
        <w:drawing>
          <wp:inline>
            <wp:extent cx="5334000" cy="4685014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5-output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X6f53cd24e9f9477d35de2a619b375773f8c8a94"/>
    <w:p>
      <w:pPr>
        <w:pStyle w:val="Heading4"/>
      </w:pPr>
      <w:r>
        <w:t xml:space="preserve">Gráfico 4.6 - Análise Detalhada por Área do Projeto</w:t>
      </w:r>
    </w:p>
    <w:p>
      <w:pPr>
        <w:pStyle w:val="FirstParagraph"/>
      </w:pPr>
      <w:r>
        <w:t xml:space="preserve">Este mapa de calor apresenta uma visão consolidada de quatro métricas diferentes para as 20 áreas com maior volume de projetos.</w:t>
      </w:r>
      <w:r>
        <w:t xml:space="preserve"> </w:t>
      </w:r>
      <w:r>
        <w:t xml:space="preserve">As linhas representam: Taxa de Aprovação DO, Taxa de Aprovação Parecer, Taxa de Mudança de Decisão (percentual de projetos</w:t>
      </w:r>
      <w:r>
        <w:t xml:space="preserve"> </w:t>
      </w:r>
      <w:r>
        <w:t xml:space="preserve">que tiveram decisão diferente entre as fases) e Diferença (Parecer-DO). Cada célula contém o valor numérico da métrica e é</w:t>
      </w:r>
      <w:r>
        <w:t xml:space="preserve"> </w:t>
      </w:r>
      <w:r>
        <w:t xml:space="preserve">colorida segundo uma escala que vai do azul escuro (valores mais negativos) ao vermelho escuro (valores mais positivos), com o</w:t>
      </w:r>
      <w:r>
        <w:t xml:space="preserve"> </w:t>
      </w:r>
      <w:r>
        <w:t xml:space="preserve">branco representando valores próximos a zero. Esta escala de cores está centrada em zero, facilitando a identificação visual de</w:t>
      </w:r>
      <w:r>
        <w:t xml:space="preserve"> </w:t>
      </w:r>
      <w:r>
        <w:t xml:space="preserve">valores positivos e negativos, especialmente útil para a linha de Diferença onde valores negativos indicam queda na taxa de</w:t>
      </w:r>
      <w:r>
        <w:t xml:space="preserve"> </w:t>
      </w:r>
      <w:r>
        <w:t xml:space="preserve">aprovação e positivos indicam aumento.</w:t>
      </w:r>
    </w:p>
    <w:p>
      <w:pPr>
        <w:pStyle w:val="BodyText"/>
      </w:pPr>
      <w:r>
        <w:drawing>
          <wp:inline>
            <wp:extent cx="5334000" cy="407675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6-output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💾 Resultados exportados para 'analise_aprovacao_por_area_projeto.csv'</w:t>
      </w:r>
      <w:r>
        <w:br/>
      </w:r>
      <w:r>
        <w:br/>
      </w:r>
      <w:r>
        <w:rPr>
          <w:rStyle w:val="VerbatimChar"/>
        </w:rPr>
        <w:t xml:space="preserve">📊 ESTATÍSTICAS ADICIONAIS:</w:t>
      </w:r>
      <w:r>
        <w:br/>
      </w:r>
      <w:r>
        <w:rPr>
          <w:rStyle w:val="VerbatimChar"/>
        </w:rPr>
        <w:t xml:space="preserve">Áreas com 100% aprovação no Parecer: 0</w:t>
      </w:r>
      <w:r>
        <w:br/>
      </w:r>
      <w:r>
        <w:rPr>
          <w:rStyle w:val="VerbatimChar"/>
        </w:rPr>
        <w:t xml:space="preserve">Áreas com 0% aprovação no Parecer: 0</w:t>
      </w:r>
      <w:r>
        <w:br/>
      </w:r>
      <w:r>
        <w:rPr>
          <w:rStyle w:val="VerbatimChar"/>
        </w:rPr>
        <w:t xml:space="preserve">Área com maior volume: TIC (18772 projetos)</w:t>
      </w:r>
      <w:r>
        <w:br/>
      </w:r>
      <w:r>
        <w:rPr>
          <w:rStyle w:val="VerbatimChar"/>
        </w:rPr>
        <w:t xml:space="preserve">Diferença máxima (Parecer-DO): 9.1%</w:t>
      </w:r>
      <w:r>
        <w:br/>
      </w:r>
      <w:r>
        <w:rPr>
          <w:rStyle w:val="VerbatimChar"/>
        </w:rPr>
        <w:t xml:space="preserve">Diferença mínima (Parecer-DO): -4.6%</w:t>
      </w:r>
    </w:p>
    <w:bookmarkEnd w:id="82"/>
    <w:bookmarkEnd w:id="83"/>
    <w:bookmarkStart w:id="84" w:name="análise-e-insights-por-setor"/>
    <w:p>
      <w:pPr>
        <w:pStyle w:val="Heading3"/>
      </w:pPr>
      <w:r>
        <w:t xml:space="preserve">Análise e Insights por Setor</w:t>
      </w:r>
    </w:p>
    <w:p>
      <w:pPr>
        <w:pStyle w:val="FirstParagraph"/>
      </w:pPr>
      <w:r>
        <w:rPr>
          <w:b/>
          <w:bCs/>
        </w:rPr>
        <w:t xml:space="preserve">O que foi investigado:</w:t>
      </w:r>
    </w:p>
    <w:p>
      <w:pPr>
        <w:pStyle w:val="BodyText"/>
      </w:pPr>
      <w:r>
        <w:t xml:space="preserve">Esta análise focou em identificar padrões de aprovação por setor nas duas fases principais do processo (DO e Parecer), quantificando as diferenças entre as decisões dos analistas técnicos e dos pareceristas para cada setor de atividade.</w:t>
      </w:r>
    </w:p>
    <w:p>
      <w:pPr>
        <w:pStyle w:val="BodyText"/>
      </w:pPr>
      <w:r>
        <w:rPr>
          <w:b/>
          <w:bCs/>
        </w:rPr>
        <w:t xml:space="preserve">Principais Descobertas:</w:t>
      </w:r>
    </w:p>
    <w:p>
      <w:pPr>
        <w:pStyle w:val="BodyText"/>
      </w:pPr>
      <w:r>
        <w:t xml:space="preserve">A análise setorial revela significativas disparidades nas taxas de aprovação entre diferentes setores e entre as fases do processo: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Variação Setorial</w:t>
      </w:r>
      <w:r>
        <w:t xml:space="preserve">: As taxas de aprovação variam drasticamente entre setores, tanto na fase DO quanto no Parecer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Tendência Geral</w:t>
      </w:r>
      <w:r>
        <w:t xml:space="preserve">: A maioria dos setores apresenta queda na taxa de aprovação entre DO e Parecer, confirmando que os pareceristas aplicam critérios mais rigorosos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Setores Favorecidos</w:t>
      </w:r>
      <w:r>
        <w:t xml:space="preserve">: Alguns setores mantêm altas taxas de aprovação em ambas as fases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Setores Penalizados</w:t>
      </w:r>
      <w:r>
        <w:t xml:space="preserve">: Certos setores sofrem quedas dramáticas entre as fases</w:t>
      </w:r>
    </w:p>
    <w:p>
      <w:pPr>
        <w:pStyle w:val="FirstParagraph"/>
      </w:pPr>
      <w:r>
        <w:rPr>
          <w:b/>
          <w:bCs/>
        </w:rPr>
        <w:t xml:space="preserve">Padrões Identificados: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Setores de Alta Performance</w:t>
      </w:r>
      <w:r>
        <w:t xml:space="preserve">: Setores com taxas superiores a 80% em ambas as fases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Setores de Queda Acentuada</w:t>
      </w:r>
      <w:r>
        <w:t xml:space="preserve">: Setores que perdem mais de 20 pontos percentuais entre DO e Parecer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Setores de Reversão</w:t>
      </w:r>
      <w:r>
        <w:t xml:space="preserve">: Raros casos onde a taxa no Parecer supera a do DO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Setores Voláteis</w:t>
      </w:r>
      <w:r>
        <w:t xml:space="preserve">: Alta taxa de mudança de decisão entre fases</w:t>
      </w:r>
    </w:p>
    <w:p>
      <w:pPr>
        <w:pStyle w:val="FirstParagraph"/>
      </w:pPr>
      <w:r>
        <w:rPr>
          <w:b/>
          <w:bCs/>
        </w:rPr>
        <w:t xml:space="preserve">Insights e Implicações Práticas: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Especialização Setorial</w:t>
      </w:r>
      <w:r>
        <w:t xml:space="preserve">: A variação nas taxas sugere que diferentes setores requerem expertise específica para avaliação adequada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Necessidade de Padronização</w:t>
      </w:r>
      <w:r>
        <w:t xml:space="preserve">: As grandes diferenças entre setores podem indicar falta de critérios uniformes ou vieses setoriais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Oportunidade de Capacitação</w:t>
      </w:r>
      <w:r>
        <w:t xml:space="preserve">: Setores com altas taxas de mudança entre fases podem se beneficiar de treinamento específico para analistas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Revisão de Critérios</w:t>
      </w:r>
      <w:r>
        <w:t xml:space="preserve">: Setores com quedas sistemáticas merecem revisão dos critérios de avaliação aplicados</w:t>
      </w:r>
    </w:p>
    <w:bookmarkEnd w:id="84"/>
    <w:bookmarkStart w:id="97" w:name="Xa2a0da4736d29251dcc596b1eb8dc8d6bc7bd1e"/>
    <w:p>
      <w:pPr>
        <w:pStyle w:val="Heading3"/>
      </w:pPr>
      <w:r>
        <w:t xml:space="preserve">5. Análise de Concordância por Área do Projeto - Foco nos Quadrantes 1 e 4</w:t>
      </w:r>
    </w:p>
    <w:bookmarkStart w:id="88" w:name="X4883e6b40f9ec4b7602325083799fb562d38887"/>
    <w:p>
      <w:pPr>
        <w:pStyle w:val="Heading4"/>
      </w:pPr>
      <w:r>
        <w:t xml:space="preserve">Gráfico 5.1 - Análise de Concordância por Área: Q1 vs Q4</w:t>
      </w:r>
    </w:p>
    <w:p>
      <w:pPr>
        <w:pStyle w:val="FirstParagraph"/>
      </w:pPr>
      <w:r>
        <w:t xml:space="preserve">Este gráfico de dispersão apresenta a relação entre duas métricas de concordância. No eixo horizontal (X) está representada a Taxa de Concordância Positiva Q1, que indica o percentual de projetos onde tanto o pesquisador quanto o ministério recomendam o projeto.</w:t>
      </w:r>
    </w:p>
    <w:p>
      <w:pPr>
        <w:pStyle w:val="BodyText"/>
      </w:pPr>
      <w:r>
        <w:t xml:space="preserve">No eixo vertical (Y) está a Taxa de Concordância Negativa Q4, representando o percentual onde ambos os avaliadores não recomendam. Cada círculo no gráfico representa uma área diferente, sendo que o tamanho do círculo é proporcional ao número total de projetos daquela área.</w:t>
      </w:r>
    </w:p>
    <w:p>
      <w:pPr>
        <w:pStyle w:val="BodyText"/>
      </w:pPr>
      <w:r>
        <w:t xml:space="preserve">A cor dos círculos varia de acordo com a concordância total (Q1+Q4), seguindo uma escala de cores do roxo ao amarelo. As linhas tracejadas indicam as médias de Q1 (54,5%) e Q4 (29,6%), enquanto a linha diagonal representa o ponto de equilíbrio onde Q1 seria igual a Q4. O gráfico inclui apenas áreas com 20 ou mais projetos para garantir representatividade estatística.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CONCORDÂNCIA POR ÁREA DO PROJETO</w:t>
      </w:r>
      <w:r>
        <w:br/>
      </w:r>
      <w:r>
        <w:rPr>
          <w:rStyle w:val="VerbatimChar"/>
        </w:rPr>
        <w:t xml:space="preserve">Foco: Quadrantes 1 (ambos recomendam) e 4 (ambos não recomendam)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ESTATÍSTICAS GERAIS:</w:t>
      </w:r>
      <w:r>
        <w:br/>
      </w:r>
      <w:r>
        <w:rPr>
          <w:rStyle w:val="VerbatimChar"/>
        </w:rPr>
        <w:t xml:space="preserve">Total de áreas analisadas: 7</w:t>
      </w:r>
      <w:r>
        <w:br/>
      </w:r>
      <w:r>
        <w:rPr>
          <w:rStyle w:val="VerbatimChar"/>
        </w:rPr>
        <w:t xml:space="preserve">Taxa média de concordância total: 84.0%</w:t>
      </w:r>
      <w:r>
        <w:br/>
      </w:r>
      <w:r>
        <w:rPr>
          <w:rStyle w:val="VerbatimChar"/>
        </w:rPr>
        <w:t xml:space="preserve">Taxa média de concordância positiva (Q1): 54.5%</w:t>
      </w:r>
      <w:r>
        <w:br/>
      </w:r>
      <w:r>
        <w:rPr>
          <w:rStyle w:val="VerbatimChar"/>
        </w:rPr>
        <w:t xml:space="preserve">Taxa média de concordância negativa (Q4): 29.6%</w:t>
      </w:r>
      <w:r>
        <w:br/>
      </w:r>
      <w:r>
        <w:br/>
      </w:r>
      <w:r>
        <w:rPr>
          <w:rStyle w:val="VerbatimChar"/>
        </w:rPr>
        <w:t xml:space="preserve">🏆 TOP 10 ÁREAS COM MAIOR CONCORDÂNCIA TOTAL (Q1+Q4):</w:t>
      </w:r>
      <w:r>
        <w:br/>
      </w:r>
      <w:r>
        <w:rPr>
          <w:rStyle w:val="VerbatimChar"/>
        </w:rPr>
        <w:t xml:space="preserve">--------------------------------------------------------------------------------</w:t>
      </w:r>
      <w:r>
        <w:br/>
      </w:r>
      <w:r>
        <w:rPr>
          <w:rStyle w:val="VerbatimChar"/>
        </w:rPr>
        <w:t xml:space="preserve"> 1. Química e Farmácia                       | Conc:  91.2% | Q1:  73.3% | Q4:  17.9% | (12845 projetos)</w:t>
      </w:r>
      <w:r>
        <w:br/>
      </w:r>
      <w:r>
        <w:rPr>
          <w:rStyle w:val="VerbatimChar"/>
        </w:rPr>
        <w:t xml:space="preserve"> 2. Eletroeletrônica                         | Conc:  86.7% | Q1:  56.4% | Q4:  30.4% | (7158 projetos)</w:t>
      </w:r>
      <w:r>
        <w:br/>
      </w:r>
      <w:r>
        <w:rPr>
          <w:rStyle w:val="VerbatimChar"/>
        </w:rPr>
        <w:t xml:space="preserve"> 3. Metalurgia e Mineração                   | Conc:  84.1% | Q1:  57.3% | Q4:  26.9% | (4989 projetos)</w:t>
      </w:r>
      <w:r>
        <w:br/>
      </w:r>
      <w:r>
        <w:rPr>
          <w:rStyle w:val="VerbatimChar"/>
        </w:rPr>
        <w:t xml:space="preserve"> 4. Agroindústria e Alimentos                | Conc:  83.9% | Q1:  52.0% | Q4:  31.9% | (8144 projetos)</w:t>
      </w:r>
      <w:r>
        <w:br/>
      </w:r>
      <w:r>
        <w:rPr>
          <w:rStyle w:val="VerbatimChar"/>
        </w:rPr>
        <w:t xml:space="preserve"> 5. Mecânica e Transporte                    | Conc:  82.0% | Q1:  54.6% | Q4:  27.4% | (9068 projetos)</w:t>
      </w:r>
      <w:r>
        <w:br/>
      </w:r>
      <w:r>
        <w:rPr>
          <w:rStyle w:val="VerbatimChar"/>
        </w:rPr>
        <w:t xml:space="preserve"> 6. TIC                                      | Conc:  80.4% | Q1:  40.9% | Q4:  39.6% | (18772 projetos)</w:t>
      </w:r>
      <w:r>
        <w:br/>
      </w:r>
      <w:r>
        <w:rPr>
          <w:rStyle w:val="VerbatimChar"/>
        </w:rPr>
        <w:t xml:space="preserve"> 7. Transversal                              | Conc:  79.8% | Q1:  46.7% | Q4:  33.1% | (7467 projetos)</w:t>
      </w:r>
    </w:p>
    <w:p>
      <w:pPr>
        <w:pStyle w:val="FirstParagraph"/>
      </w:pPr>
      <w:r>
        <w:drawing>
          <wp:inline>
            <wp:extent cx="5334000" cy="408623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7-output-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X51d0f19e8b3f1840db07c4a46021df4ad42e36f"/>
    <w:p>
      <w:pPr>
        <w:pStyle w:val="Heading4"/>
      </w:pPr>
      <w:r>
        <w:t xml:space="preserve">Gráfico 5.2 - Distribuição dos Quadrantes por Área</w:t>
      </w:r>
    </w:p>
    <w:p>
      <w:pPr>
        <w:pStyle w:val="FirstParagraph"/>
      </w:pPr>
      <w:r>
        <w:t xml:space="preserve">Este conjunto de dois gráficos de barras mostra a distribuição percentual dos quatro quadrantes de decisão para as 15 áreas com maior volume de projetos.</w:t>
      </w:r>
    </w:p>
    <w:p>
      <w:pPr>
        <w:pStyle w:val="BodyText"/>
      </w:pPr>
      <w:r>
        <w:t xml:space="preserve">O gráfico superior apresenta barras empilhadas onde cada segmento colorido representa um quadrante: verde para Q1 (ambos recomendam), vermelho para Q2 (pesquisador recomenda, ministério não), laranja para Q3 (pesquisador não recomenda, ministério sim) e cinza para Q4 (ambos não recomendam).</w:t>
      </w:r>
    </w:p>
    <w:p>
      <w:pPr>
        <w:pStyle w:val="BodyText"/>
      </w:pPr>
      <w:r>
        <w:t xml:space="preserve">A altura total de cada barra sempre soma 100%, mostrando a distribuição completa das decisões. O gráfico inferior foca especificamente na comparação entre Q1 e Q4, usando barras lado a lado para facilitar a comparação direta entre concordância positiva (verde) e negativa (cinza) em cada área, com os valores percentuais exibidos acima de cada barra.</w:t>
      </w:r>
    </w:p>
    <w:p>
      <w:pPr>
        <w:pStyle w:val="BodyText"/>
      </w:pPr>
      <w:r>
        <w:drawing>
          <wp:inline>
            <wp:extent cx="5334000" cy="3991268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8-output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X8ddce6150d7d8287ddbdce8a53c39f73c718e55"/>
    <w:p>
      <w:pPr>
        <w:pStyle w:val="Heading4"/>
      </w:pPr>
      <w:r>
        <w:t xml:space="preserve">Gráfico 5.3 - Heatmap de Concordância por Área</w:t>
      </w:r>
    </w:p>
    <w:p>
      <w:pPr>
        <w:pStyle w:val="FirstParagraph"/>
      </w:pPr>
      <w:r>
        <w:t xml:space="preserve">Este mapa de calor apresenta uma matriz onde as colunas representam as 20 áreas com maior volume de projetos e as linhas mostram quatro métricas diferentes:</w:t>
      </w:r>
      <w:r>
        <w:t xml:space="preserve"> </w:t>
      </w:r>
      <w:r>
        <w:t xml:space="preserve">Q1 (Concordância Positiva), Q4 (Concordância Negativa), Concordância Total e Discordância Total. Cada célula contém o valor percentual correspondente e é colorida segundo uma escala que vai do vermelho ao verde, passando pelo amarelo. Valores mais altos aparecem em tons de verde, valores médios em amarelo e valores mais baixos em vermelho. O centro da escala de cores está fixado em 50%, facilitando a identificação visual de valores acima ou abaixo deste ponto médio. Os valores numéricos são exibidos dentro de cada célula para precisão, e as bordas cinzas delimitam cada célula individual.</w:t>
      </w:r>
    </w:p>
    <w:p>
      <w:pPr>
        <w:pStyle w:val="BodyText"/>
      </w:pPr>
      <w:r>
        <w:drawing>
          <wp:inline>
            <wp:extent cx="5334000" cy="4067329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19-output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🔍 PADRÕES ESPECIAIS DE CONCORDÂNCIA:</w:t>
      </w:r>
      <w:r>
        <w:br/>
      </w:r>
      <w:r>
        <w:rPr>
          <w:rStyle w:val="VerbatimChar"/>
        </w:rPr>
        <w:t xml:space="preserve">--------------------------------------------------------------------------------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✅ Áreas com ALTA concordância positiva (Q1 &gt; 70%):</w:t>
      </w:r>
      <w:r>
        <w:br/>
      </w:r>
      <w:r>
        <w:rPr>
          <w:rStyle w:val="VerbatimChar"/>
        </w:rPr>
        <w:t xml:space="preserve">   • Química e Farmácia: 73.3% (9415 de 12845 projetos)</w:t>
      </w:r>
      <w:r>
        <w:br/>
      </w:r>
      <w:r>
        <w:br/>
      </w:r>
      <w:r>
        <w:rPr>
          <w:rStyle w:val="VerbatimChar"/>
        </w:rPr>
        <w:t xml:space="preserve">⚖️ Áreas EQUILIBRADAS (diferença Q1-Q4 &lt; 10%):</w:t>
      </w:r>
      <w:r>
        <w:br/>
      </w:r>
      <w:r>
        <w:rPr>
          <w:rStyle w:val="VerbatimChar"/>
        </w:rPr>
        <w:t xml:space="preserve">   • TIC: Q1=40.9%, Q4=39.6% (18772 projetos)</w:t>
      </w:r>
      <w:r>
        <w:br/>
      </w:r>
      <w:r>
        <w:br/>
      </w:r>
      <w:r>
        <w:rPr>
          <w:rStyle w:val="VerbatimChar"/>
        </w:rPr>
        <w:t xml:space="preserve">💾 Resultados exportados para 'analise_concordancia_por_area.csv'</w:t>
      </w:r>
    </w:p>
    <w:bookmarkEnd w:id="96"/>
    <w:bookmarkEnd w:id="97"/>
    <w:bookmarkStart w:id="113" w:name="análise-por-setor-para-q2-e-q3"/>
    <w:p>
      <w:pPr>
        <w:pStyle w:val="Heading3"/>
      </w:pPr>
      <w:r>
        <w:t xml:space="preserve">6. Análise por setor para Q2 e Q3</w:t>
      </w:r>
    </w:p>
    <w:bookmarkStart w:id="102" w:name="X66d226759d2e52fb8ca15e7f1ce1065430d3197"/>
    <w:p>
      <w:pPr>
        <w:pStyle w:val="Heading4"/>
      </w:pPr>
      <w:r>
        <w:t xml:space="preserve">Tabelas 6.1 e 6.2 - Top 5 Setores Q2 e Q3</w:t>
      </w:r>
    </w:p>
    <w:p>
      <w:pPr>
        <w:pStyle w:val="FirstParagraph"/>
      </w:pPr>
      <w:r>
        <w:t xml:space="preserve">Estas duas tabelas apresentam os cinco setores com as maiores taxas percentuais de discordância em cada quadrante.</w:t>
      </w:r>
      <w:r>
        <w:t xml:space="preserve"> </w:t>
      </w:r>
      <w:r>
        <w:t xml:space="preserve">A primeira tabela, com fundo rosa, mostra os setores onde o ministério é mais rigoroso (Q2), enquanto a segunda tabela,</w:t>
      </w:r>
      <w:r>
        <w:t xml:space="preserve"> </w:t>
      </w:r>
      <w:r>
        <w:t xml:space="preserve">com fundo azul, mostra onde o pesquisador é mais rigoroso (Q3). Cada tabela contém quatro colunas: o nome do setor, a taxa</w:t>
      </w:r>
      <w:r>
        <w:t xml:space="preserve"> </w:t>
      </w:r>
      <w:r>
        <w:t xml:space="preserve">percentual do quadrante correspondente, o número absoluto de projetos naquele quadrante e o total de projetos do setor. Os</w:t>
      </w:r>
      <w:r>
        <w:t xml:space="preserve"> </w:t>
      </w:r>
      <w:r>
        <w:t xml:space="preserve">setores estão ordenados pela taxa percentual em ordem decrescente e numerados de 1 a 5.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ANÁLISE APROFUNDADA DAS CAUSAS DE DISCORDÂNCIA NA AVALIAÇÃO DE PROJETOS</w:t>
      </w:r>
      <w:r>
        <w:br/>
      </w:r>
      <w:r>
        <w:rPr>
          <w:rStyle w:val="VerbatimChar"/>
        </w:rPr>
        <w:t xml:space="preserve">Lei do Bem - Quadrantes 2 e 3</w:t>
      </w:r>
      <w:r>
        <w:br/>
      </w:r>
      <w:r>
        <w:rPr>
          <w:rStyle w:val="VerbatimChar"/>
        </w:rPr>
        <w:t xml:space="preserve">====================================================================================================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1. ANÁLISE SETORIAL DA DISCORDÂNCIA</w:t>
      </w:r>
      <w:r>
        <w:br/>
      </w:r>
      <w:r>
        <w:rPr>
          <w:rStyle w:val="VerbatimChar"/>
        </w:rPr>
        <w:t xml:space="preserve">--------------------------------------------------------------------------------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🔴 TOP 5 SETORES - MAIOR TAXA Q2 (Pesquisador SIM → Ministério NÃO):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T_43aa9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Top 5 Setores - Maior Taxa Q2 (Pesquisador SIM → Ministério NÃO)</w:t>
            </w:r>
          </w:p>
          <w:bookmarkStart w:id="98" w:name="T_43aa9"/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584"/>
              <w:gridCol w:w="1584"/>
              <w:gridCol w:w="1584"/>
              <w:gridCol w:w="1584"/>
              <w:gridCol w:w="1584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 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Taxa Q2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Projetos Q2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Total Projetos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2268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18772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Transversal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11.8%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879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7467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Agroindústria e Alimentos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694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8144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Metalurgia e Mineração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277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4989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Mecânica e Transporte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404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9068</w:t>
                  </w:r>
                </w:p>
              </w:tc>
            </w:tr>
          </w:tbl>
          <w:bookmarkEnd w:id="98"/>
          <w:bookmarkEnd w:id="99"/>
          <w:p/>
        </w:tc>
      </w:tr>
    </w:tbl>
    <w:p>
      <w:pPr>
        <w:pStyle w:val="SourceCode"/>
      </w:pPr>
      <w:r>
        <w:br/>
      </w:r>
      <w:r>
        <w:rPr>
          <w:rStyle w:val="VerbatimChar"/>
        </w:rPr>
        <w:t xml:space="preserve">🔵 TOP 5 SETORES - MAIOR TAXA Q3 (Pesquisador NÃO → Ministério SIM):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1" w:name="T_3849f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Top 5 Setores - Maior Taxa Q3 (Pesquisador NÃO → Ministério SIM)</w:t>
            </w:r>
          </w:p>
          <w:bookmarkStart w:id="100" w:name="T_3849f"/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584"/>
              <w:gridCol w:w="1584"/>
              <w:gridCol w:w="1584"/>
              <w:gridCol w:w="1584"/>
              <w:gridCol w:w="1584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 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Taxa Q3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Projetos Q3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Total Projetos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Mecânica e Transporte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1230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9068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Eletroeletrônica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11.1%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792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7158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Metalurgia e Mineração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10.3%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514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4989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Transversal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8.4%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630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7467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Agroindústria e Alimentos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614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8144</w:t>
                  </w:r>
                </w:p>
              </w:tc>
            </w:tr>
          </w:tbl>
          <w:bookmarkEnd w:id="100"/>
          <w:bookmarkEnd w:id="101"/>
          <w:p/>
        </w:tc>
      </w:tr>
    </w:tbl>
    <w:bookmarkEnd w:id="102"/>
    <w:bookmarkStart w:id="106" w:name="X29d33c0db16dd76a63fada082c3f646701742d7"/>
    <w:p>
      <w:pPr>
        <w:pStyle w:val="Heading4"/>
      </w:pPr>
      <w:r>
        <w:t xml:space="preserve">Gráfico 6.1 - Análise Setorial de Discordância: Q2 vs Q3</w:t>
      </w:r>
    </w:p>
    <w:p>
      <w:pPr>
        <w:pStyle w:val="FirstParagraph"/>
      </w:pPr>
      <w:r>
        <w:t xml:space="preserve">Este gráfico de barras agrupadas compara as taxas de discordância entre os Quadrantes 2 e 3 para os 15 setores com maior volume de projetos. As barras vermelhas representam o Q2 (projetos recomendados pelo pesquisador mas não recomendados pelo ministério) e as barras azuis representam o Q3 (projetos não recomendados pelo pesquisador mas recomendados pelo ministério).</w:t>
      </w:r>
    </w:p>
    <w:p>
      <w:pPr>
        <w:pStyle w:val="BodyText"/>
      </w:pPr>
      <w:r>
        <w:t xml:space="preserve">Cada par de barras corresponde a um setor específico, com os valores percentuais exibidos acima de cada barra. As linhas horizontais tracejadas indicam as médias gerais de Q2 (8,8%) e Q3 (4,3%) em todos os setores. O gráfico permite visualizar quais setores apresentam maior discordância e em qual direção essa discordância ocorre predominantemente.</w:t>
      </w:r>
    </w:p>
    <w:p>
      <w:pPr>
        <w:pStyle w:val="BodyText"/>
      </w:pPr>
      <w:r>
        <w:drawing>
          <wp:inline>
            <wp:extent cx="5334000" cy="3319903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analise_setores_quadrantes_files/figure-docx/cell-21-output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📈 ANÁLISE DE PADRÕES SETORIAIS:</w:t>
      </w:r>
      <w:r>
        <w:br/>
      </w:r>
      <w:r>
        <w:rPr>
          <w:rStyle w:val="VerbatimChar"/>
        </w:rPr>
        <w:t xml:space="preserve">--------------------------------------------------------------------------------</w:t>
      </w:r>
    </w:p>
    <w:bookmarkEnd w:id="106"/>
    <w:bookmarkStart w:id="109" w:name="Xad534f3e0988bd42b03557a9b163bcff63d7733"/>
    <w:p>
      <w:pPr>
        <w:pStyle w:val="Heading4"/>
      </w:pPr>
      <w:r>
        <w:t xml:space="preserve">Tabelas 6.3 e 6.4 - Viés do Ministério e do Pesquisador</w:t>
      </w:r>
    </w:p>
    <w:p>
      <w:pPr>
        <w:pStyle w:val="FirstParagraph"/>
      </w:pPr>
      <w:r>
        <w:t xml:space="preserve">Estas tabelas identificam setores onde há um viés significativo (diferença maior que 5%) entre Q2 e Q3. A tabela de viés do ministério mostra setores onde Q2 &gt; Q3 + 5%, indicando que o ministério tende a ser mais rigoroso nesses setores. A tabela de viés do pesquisador mostra o oposto (Q3 &gt; Q2 + 5%). Cada tabela apresenta as taxas de Q2 e Q3, a diferença entre elas (Δ) e o total de projetos. A coluna de diferença é destacada com cor de fundo correspondente ao tipo de viés (rosa para ministério, azul para pesquisador).</w:t>
      </w:r>
    </w:p>
    <w:p>
      <w:pPr>
        <w:pStyle w:val="SourceCode"/>
      </w:pPr>
      <w:r>
        <w:br/>
      </w:r>
      <w:r>
        <w:rPr>
          <w:rStyle w:val="VerbatimChar"/>
        </w:rPr>
        <w:t xml:space="preserve">🔵 Setores onde o PESQUISADOR é mais RIGOROSO (Q3 &gt; Q2 + 5%):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T_1897a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3: Viés do Pesquisador - Setores onde Q3 &gt; Q2 + 5%</w:t>
            </w:r>
          </w:p>
          <w:bookmarkStart w:id="107" w:name="T_1897a"/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320"/>
              <w:gridCol w:w="1320"/>
              <w:gridCol w:w="1320"/>
              <w:gridCol w:w="1320"/>
              <w:gridCol w:w="1320"/>
              <w:gridCol w:w="132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 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Q3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Q2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Δ (Q3-Q2)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Total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Mecânica e Transporte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+9.1%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9068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Eletroeletrônica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11.1%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2.2%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+8.9%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7158</w:t>
                  </w:r>
                </w:p>
              </w:tc>
            </w:tr>
          </w:tbl>
          <w:bookmarkEnd w:id="107"/>
          <w:bookmarkEnd w:id="108"/>
          <w:p/>
        </w:tc>
      </w:tr>
    </w:tbl>
    <w:p>
      <w:pPr>
        <w:pStyle w:val="SourceCode"/>
      </w:pPr>
      <w:r>
        <w:br/>
      </w:r>
      <w:r>
        <w:rPr>
          <w:rStyle w:val="VerbatimChar"/>
        </w:rPr>
        <w:t xml:space="preserve">📊 RESUMO GERAL DE DISCORDÂNCIA POR SETOR:</w:t>
      </w:r>
      <w:r>
        <w:br/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             </w:t>
      </w:r>
    </w:p>
    <w:bookmarkEnd w:id="109"/>
    <w:bookmarkStart w:id="112" w:name="X151ec843da547a8137a5da715ef143f213f6949"/>
    <w:p>
      <w:pPr>
        <w:pStyle w:val="Heading4"/>
      </w:pPr>
      <w:r>
        <w:t xml:space="preserve">Tabela 6.5 - Resumo Geral de Discordância por Setor</w:t>
      </w:r>
    </w:p>
    <w:p>
      <w:pPr>
        <w:pStyle w:val="FirstParagraph"/>
      </w:pPr>
      <w:r>
        <w:t xml:space="preserve">Esta tabela apresenta os 10 setores com maior taxa de discordância total (Q2 + Q3). As colunas mostram o nome do setor, a taxa de discordância total, as taxas individuais de Q2 e Q3, qual avaliador é mais rigoroso naquele setor (colorido em rosa se for o ministério ou azul se for o pesquisador), e o total de projetos. O setor TIC - Software lidera com 34,8% de discordância total. A coloração na coluna</w:t>
      </w:r>
      <w:r>
        <w:t xml:space="preserve"> </w:t>
      </w:r>
      <w:r>
        <w:t xml:space="preserve">“</w:t>
      </w:r>
      <w:r>
        <w:t xml:space="preserve">Mais Rigoroso</w:t>
      </w:r>
      <w:r>
        <w:t xml:space="preserve">”</w:t>
      </w:r>
      <w:r>
        <w:t xml:space="preserve"> </w:t>
      </w:r>
      <w:r>
        <w:t xml:space="preserve">facilita a identificação visual de padrões de rigor por setor, mostrando se há tendências sistemáticas em determinadas áreas.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1" w:name="T_d99be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4: Top 10 Setores - Maior Discordância Total</w:t>
            </w:r>
          </w:p>
          <w:bookmarkStart w:id="110" w:name="T_d99be"/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131"/>
              <w:gridCol w:w="1131"/>
              <w:gridCol w:w="1131"/>
              <w:gridCol w:w="1131"/>
              <w:gridCol w:w="1131"/>
              <w:gridCol w:w="1131"/>
              <w:gridCol w:w="1131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 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Discord. Total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Q2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Q3 (%)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Mais Rigoroso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Total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Transversal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20.2%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11.8%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8.4%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Ministério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7467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TIC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19.6%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Ministério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18772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Mecânica e Transporte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18.0%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Pesquisador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9068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Agroindústria e Alimentos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16.1%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Ministério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8144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Metalurgia e Mineração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15.9%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5.6%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10.3%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Pesquisador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4989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Eletroeletrônica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13.3%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2.2%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11.1%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Pesquisador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7158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7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Química e Farmácia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8.8%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3.3%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5.5%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Pesquisador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12845</w:t>
                  </w:r>
                </w:p>
              </w:tc>
            </w:tr>
          </w:tbl>
          <w:bookmarkEnd w:id="110"/>
          <w:bookmarkEnd w:id="111"/>
          <w:p/>
        </w:tc>
      </w:tr>
    </w:tbl>
    <w:p>
      <w:pPr>
        <w:pStyle w:val="SourceCode"/>
      </w:pPr>
      <w:r>
        <w:br/>
      </w:r>
      <w:r>
        <w:br/>
      </w:r>
      <w:r>
        <w:rPr>
          <w:rStyle w:val="VerbatimChar"/>
        </w:rPr>
        <w:t xml:space="preserve">🔍 2. ANÁLISE COMPARATIVA E INSIGHTS</w:t>
      </w:r>
      <w:r>
        <w:br/>
      </w:r>
      <w:r>
        <w:rPr>
          <w:rStyle w:val="VerbatimChar"/>
        </w:rPr>
        <w:t xml:space="preserve">--------------------------------------------------------------------------------</w:t>
      </w:r>
      <w:r>
        <w:br/>
      </w:r>
      <w:r>
        <w:br/>
      </w:r>
      <w:r>
        <w:br/>
      </w:r>
      <w:r>
        <w:rPr>
          <w:rStyle w:val="VerbatimChar"/>
        </w:rPr>
        <w:t xml:space="preserve">💡 RECOMENDAÇÕES PARA REDUÇÃO DA SUBJETIVIDADE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**HARMONIZAÇÃO DE CRITÉRIOS POR SETOR:**</w:t>
      </w:r>
      <w:r>
        <w:br/>
      </w:r>
      <w:r>
        <w:rPr>
          <w:rStyle w:val="VerbatimChar"/>
        </w:rPr>
        <w:t xml:space="preserve">   - Desenvolver guias específicos para setores com alta discordância</w:t>
      </w:r>
      <w:r>
        <w:br/>
      </w:r>
      <w:r>
        <w:rPr>
          <w:rStyle w:val="VerbatimChar"/>
        </w:rPr>
        <w:t xml:space="preserve">   - Realizar workshops de alinhamento entre avaliadores por área temática</w:t>
      </w:r>
      <w:r>
        <w:br/>
      </w:r>
      <w:r>
        <w:br/>
      </w:r>
      <w:r>
        <w:rPr>
          <w:rStyle w:val="VerbatimChar"/>
        </w:rPr>
        <w:t xml:space="preserve">2. **PADRONIZAÇÃO DE INTERPRETAÇÕES:**</w:t>
      </w:r>
      <w:r>
        <w:br/>
      </w:r>
      <w:r>
        <w:rPr>
          <w:rStyle w:val="VerbatimChar"/>
        </w:rPr>
        <w:t xml:space="preserve">   - Criar exemplos concretos do que constitui "inovação suficiente" por setor</w:t>
      </w:r>
      <w:r>
        <w:br/>
      </w:r>
      <w:r>
        <w:rPr>
          <w:rStyle w:val="VerbatimChar"/>
        </w:rPr>
        <w:t xml:space="preserve">   - Estabelecer métricas objetivas para avaliar "clareza metodológica"</w:t>
      </w:r>
      <w:r>
        <w:br/>
      </w:r>
      <w:r>
        <w:br/>
      </w:r>
      <w:r>
        <w:rPr>
          <w:rStyle w:val="VerbatimChar"/>
        </w:rPr>
        <w:t xml:space="preserve">3. **SISTEMA DE DUPLA CHECAGEM:**</w:t>
      </w:r>
      <w:r>
        <w:br/>
      </w:r>
      <w:r>
        <w:rPr>
          <w:rStyle w:val="VerbatimChar"/>
        </w:rPr>
        <w:t xml:space="preserve">   - Implementar revisão obrigatória para projetos em setores de alta discordância</w:t>
      </w:r>
      <w:r>
        <w:br/>
      </w:r>
      <w:r>
        <w:rPr>
          <w:rStyle w:val="VerbatimChar"/>
        </w:rPr>
        <w:t xml:space="preserve">   - Criar comitês mistos (pesquisador + analista) para casos limítrofes</w:t>
      </w:r>
      <w:r>
        <w:br/>
      </w:r>
      <w:r>
        <w:br/>
      </w:r>
      <w:r>
        <w:rPr>
          <w:rStyle w:val="VerbatimChar"/>
        </w:rPr>
        <w:t xml:space="preserve">4. **CAPACITAÇÃO CONTINUADA:**</w:t>
      </w:r>
      <w:r>
        <w:br/>
      </w:r>
      <w:r>
        <w:rPr>
          <w:rStyle w:val="VerbatimChar"/>
        </w:rPr>
        <w:t xml:space="preserve">   - Treinar analistas do Ministério em aspectos técnicos específicos</w:t>
      </w:r>
      <w:r>
        <w:br/>
      </w:r>
      <w:r>
        <w:rPr>
          <w:rStyle w:val="VerbatimChar"/>
        </w:rPr>
        <w:t xml:space="preserve">   - Sensibilizar pesquisadores sobre requisitos formais e de enquadramento</w:t>
      </w:r>
      <w:r>
        <w:br/>
      </w:r>
      <w:r>
        <w:br/>
      </w:r>
      <w:r>
        <w:rPr>
          <w:rStyle w:val="VerbatimChar"/>
        </w:rPr>
        <w:t xml:space="preserve">5. **FEEDBACK ESTRUTURADO:**</w:t>
      </w:r>
      <w:r>
        <w:br/>
      </w:r>
      <w:r>
        <w:rPr>
          <w:rStyle w:val="VerbatimChar"/>
        </w:rPr>
        <w:t xml:space="preserve">   - Implementar sistema de justificativas estruturadas com campos obrigatórios</w:t>
      </w:r>
      <w:r>
        <w:br/>
      </w:r>
      <w:r>
        <w:rPr>
          <w:rStyle w:val="VerbatimChar"/>
        </w:rPr>
        <w:t xml:space="preserve">   - Criar base de conhecimento com decisões anteriores como referência</w:t>
      </w:r>
      <w:r>
        <w:br/>
      </w:r>
      <w:r>
        <w:rPr>
          <w:rStyle w:val="VerbatimChar"/>
        </w:rPr>
        <w:t xml:space="preserve">    </w:t>
      </w:r>
      <w:r>
        <w:br/>
      </w:r>
      <w:r>
        <w:br/>
      </w:r>
      <w:r>
        <w:rPr>
          <w:rStyle w:val="VerbatimChar"/>
        </w:rPr>
        <w:t xml:space="preserve">💾 Análise setorial exportada para 'analise_discordancia_setorial_q2_q3.csv'</w:t>
      </w:r>
    </w:p>
    <w:bookmarkEnd w:id="112"/>
    <w:bookmarkEnd w:id="113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Analise</dc:title>
  <dc:creator>Leonardo Camilo</dc:creator>
  <cp:keywords/>
  <dcterms:created xsi:type="dcterms:W3CDTF">2025-07-24T18:19:06Z</dcterms:created>
  <dcterms:modified xsi:type="dcterms:W3CDTF">2025-07-24T18:19:06Z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jupyter">
    <vt:lpwstr>python3</vt:lpwstr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