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200" w:before="0"/>
        <w:jc w:val="center"/>
      </w:pPr>
      <w:r>
        <w:rPr>
          <w:rFonts w:ascii="Arial" w:cs="Arial" w:eastAsia="Arial" w:hAnsi="Arial"/>
          <w:b/>
          <w:bCs/>
          <w:caps/>
          <w:color w:val="00704A"/>
          <w:sz w:val="28"/>
          <w:szCs w:val="28"/>
        </w:rPr>
        <w:t xml:space="preserve">PVP ENTREPRISES — DESJARDINS</w:t>
      </w:r>
    </w:p>
    <w:p>
      <w:pPr>
        <w:spacing w:after="120" w:before="0"/>
        <w:jc w:val="center"/>
      </w:pPr>
      <w:r>
        <w:rPr>
          <w:rFonts w:ascii="Arial" w:cs="Arial" w:eastAsia="Arial" w:hAnsi="Arial"/>
          <w:b/>
          <w:bCs/>
          <w:color w:val="004D33"/>
          <w:sz w:val="52"/>
          <w:szCs w:val="52"/>
        </w:rPr>
        <w:t xml:space="preserve">TARIFICATION BANCAIRE B2B</w:t>
      </w:r>
    </w:p>
    <w:p>
      <w:pPr>
        <w:spacing w:after="600" w:before="0"/>
        <w:jc w:val="center"/>
      </w:pPr>
      <w:r>
        <w:rPr>
          <w:rFonts w:ascii="Arial" w:cs="Arial" w:eastAsia="Arial" w:hAnsi="Arial"/>
          <w:b w:val="false"/>
          <w:bCs w:val="false"/>
          <w:i/>
          <w:iCs/>
          <w:color w:val="1B4F8A"/>
          <w:sz w:val="30"/>
          <w:szCs w:val="30"/>
        </w:rPr>
        <w:t xml:space="preserve">Intelligence Analytique &amp; Optimisation du Revenu</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00704A" w:sz="12"/>
              <w:left w:val="single" w:color="00704A" w:sz="12"/>
              <w:bottom w:val="single" w:color="00704A" w:sz="12"/>
              <w:right w:val="single" w:color="00704A" w:sz="12"/>
            </w:tcBorders>
            <w:shd w:fill="E8F5EF" w:val="clear"/>
            <w:tcMar>
              <w:top w:type="dxa" w:w="200"/>
              <w:left w:type="dxa" w:w="300"/>
              <w:bottom w:type="dxa" w:w="200"/>
              <w:right w:type="dxa" w:w="300"/>
            </w:tcMar>
          </w:tcPr>
          <w:p>
            <w:pPr>
              <w:spacing w:after="80"/>
              <w:jc w:val="center"/>
            </w:pPr>
            <w:r>
              <w:rPr>
                <w:rFonts w:ascii="Arial" w:cs="Arial" w:eastAsia="Arial" w:hAnsi="Arial"/>
                <w:b/>
                <w:bCs/>
                <w:color w:val="004D33"/>
                <w:sz w:val="24"/>
                <w:szCs w:val="24"/>
              </w:rPr>
              <w:t xml:space="preserve">Analyse Expert Senior</w:t>
            </w:r>
          </w:p>
          <w:p>
            <w:pPr>
              <w:spacing w:after="80"/>
              <w:jc w:val="center"/>
            </w:pPr>
            <w:r>
              <w:rPr>
                <w:rFonts w:ascii="Arial" w:cs="Arial" w:eastAsia="Arial" w:hAnsi="Arial"/>
                <w:color w:val="404040"/>
                <w:sz w:val="20"/>
                <w:szCs w:val="20"/>
              </w:rPr>
              <w:t xml:space="preserve">Tarification • Analytique Avancée • IA • Stratégie</w:t>
            </w:r>
          </w:p>
          <w:p>
            <w:pPr>
              <w:jc w:val="center"/>
            </w:pPr>
            <w:r>
              <w:rPr>
                <w:rFonts w:ascii="Arial" w:cs="Arial" w:eastAsia="Arial" w:hAnsi="Arial"/>
                <w:b/>
                <w:bCs/>
                <w:color w:val="C55A11"/>
                <w:sz w:val="18"/>
                <w:szCs w:val="18"/>
              </w:rPr>
              <w:t xml:space="preserve">Confidentiel — Usage interne PVP Entreprises</w:t>
            </w:r>
          </w:p>
        </w:tc>
      </w:tr>
    </w:tbl>
    <w:p>
      <w:pPr>
        <w:spacing w:before="800"/>
      </w:pPr>
      <w:r>
        <w:t xml:space="preserve"/>
      </w:r>
    </w:p>
    <w:p>
      <w:pPr>
        <w:jc w:val="center"/>
      </w:pPr>
      <w:r>
        <w:rPr>
          <w:rFonts w:ascii="Arial" w:cs="Arial" w:eastAsia="Arial" w:hAnsi="Arial"/>
          <w:color w:val="404040"/>
          <w:sz w:val="22"/>
          <w:szCs w:val="22"/>
        </w:rPr>
        <w:t xml:space="preserve">Mai 2025</w:t>
      </w:r>
    </w:p>
    <w:p>
      <w:pPr>
        <w:spacing w:after="0" w:before="0"/>
      </w:pPr>
      <w:r>
        <w:br w:type="page"/>
      </w:r>
    </w:p>
    <w:p>
      <w:pPr>
        <w:pStyle w:val="Heading1"/>
        <w:shd w:fill="004D33" w:val="clear"/>
        <w:spacing w:after="200" w:before="360"/>
        <w:ind w:left="200" w:right="200"/>
      </w:pPr>
      <w:r>
        <w:rPr>
          <w:rFonts w:ascii="Arial" w:cs="Arial" w:eastAsia="Arial" w:hAnsi="Arial"/>
          <w:b/>
          <w:bCs/>
          <w:color w:val="FFFFFF"/>
          <w:sz w:val="32"/>
          <w:szCs w:val="32"/>
        </w:rPr>
        <w:t xml:space="preserve">TABLE DES MATIÈRES</w:t>
      </w:r>
    </w:p>
    <w:p>
      <w:pPr>
        <w:spacing w:before="200"/>
      </w:pPr>
      <w:r>
        <w:t xml:space="preserve"/>
      </w:r>
    </w:p>
    <w:p>
      <w:pPr>
        <w:spacing w:after="100" w:before="100"/>
        <w:ind w:left="200"/>
      </w:pPr>
      <w:r>
        <w:rPr>
          <w:rFonts w:ascii="Arial" w:cs="Arial" w:eastAsia="Arial" w:hAnsi="Arial"/>
          <w:b/>
          <w:bCs/>
          <w:color w:val="004D33"/>
          <w:sz w:val="20"/>
          <w:szCs w:val="20"/>
        </w:rPr>
        <w:t xml:space="preserve">1.  Fondements de la tarification bancaire B2B</w:t>
      </w:r>
      <w:r>
        <w:rPr>
          <w:rFonts w:ascii="Arial" w:cs="Arial" w:eastAsia="Arial" w:hAnsi="Arial"/>
          <w:color w:val="404040"/>
          <w:sz w:val="20"/>
          <w:szCs w:val="20"/>
        </w:rPr>
        <w:t xml:space="preserve">  .....  p.3</w:t>
      </w:r>
    </w:p>
    <w:p>
      <w:pPr>
        <w:spacing w:after="100" w:before="100"/>
        <w:ind w:left="200"/>
      </w:pPr>
      <w:r>
        <w:rPr>
          <w:rFonts w:ascii="Arial" w:cs="Arial" w:eastAsia="Arial" w:hAnsi="Arial"/>
          <w:b/>
          <w:bCs/>
          <w:color w:val="004D33"/>
          <w:sz w:val="20"/>
          <w:szCs w:val="20"/>
        </w:rPr>
        <w:t xml:space="preserve">2.  Variables clés influençant la tarification</w:t>
      </w:r>
      <w:r>
        <w:rPr>
          <w:rFonts w:ascii="Arial" w:cs="Arial" w:eastAsia="Arial" w:hAnsi="Arial"/>
          <w:color w:val="404040"/>
          <w:sz w:val="20"/>
          <w:szCs w:val="20"/>
        </w:rPr>
        <w:t xml:space="preserve">  .....  p.6</w:t>
      </w:r>
    </w:p>
    <w:p>
      <w:pPr>
        <w:spacing w:after="100" w:before="100"/>
        <w:ind w:left="200"/>
      </w:pPr>
      <w:r>
        <w:rPr>
          <w:rFonts w:ascii="Arial" w:cs="Arial" w:eastAsia="Arial" w:hAnsi="Arial"/>
          <w:b/>
          <w:bCs/>
          <w:color w:val="004D33"/>
          <w:sz w:val="20"/>
          <w:szCs w:val="20"/>
        </w:rPr>
        <w:t xml:space="preserve">3.  Concepts fondamentaux : RAROC, NIM, Pricing Waterfall</w:t>
      </w:r>
      <w:r>
        <w:rPr>
          <w:rFonts w:ascii="Arial" w:cs="Arial" w:eastAsia="Arial" w:hAnsi="Arial"/>
          <w:color w:val="404040"/>
          <w:sz w:val="20"/>
          <w:szCs w:val="20"/>
        </w:rPr>
        <w:t xml:space="preserve">  .....  p.9</w:t>
      </w:r>
    </w:p>
    <w:p>
      <w:pPr>
        <w:spacing w:after="100" w:before="100"/>
        <w:ind w:left="200"/>
      </w:pPr>
      <w:r>
        <w:rPr>
          <w:rFonts w:ascii="Arial" w:cs="Arial" w:eastAsia="Arial" w:hAnsi="Arial"/>
          <w:b/>
          <w:bCs/>
          <w:color w:val="004D33"/>
          <w:sz w:val="20"/>
          <w:szCs w:val="20"/>
        </w:rPr>
        <w:t xml:space="preserve">4.  IA &amp; Analytique Avancée au service du pricing</w:t>
      </w:r>
      <w:r>
        <w:rPr>
          <w:rFonts w:ascii="Arial" w:cs="Arial" w:eastAsia="Arial" w:hAnsi="Arial"/>
          <w:color w:val="404040"/>
          <w:sz w:val="20"/>
          <w:szCs w:val="20"/>
        </w:rPr>
        <w:t xml:space="preserve">  .....  p.13</w:t>
      </w:r>
    </w:p>
    <w:p>
      <w:pPr>
        <w:spacing w:after="100" w:before="100"/>
        <w:ind w:left="200"/>
      </w:pPr>
      <w:r>
        <w:rPr>
          <w:rFonts w:ascii="Arial" w:cs="Arial" w:eastAsia="Arial" w:hAnsi="Arial"/>
          <w:b/>
          <w:bCs/>
          <w:color w:val="004D33"/>
          <w:sz w:val="20"/>
          <w:szCs w:val="20"/>
        </w:rPr>
        <w:t xml:space="preserve">5.  Cas d'usage analytiques prioritaires</w:t>
      </w:r>
      <w:r>
        <w:rPr>
          <w:rFonts w:ascii="Arial" w:cs="Arial" w:eastAsia="Arial" w:hAnsi="Arial"/>
          <w:color w:val="404040"/>
          <w:sz w:val="20"/>
          <w:szCs w:val="20"/>
        </w:rPr>
        <w:t xml:space="preserve">  .....  p.17</w:t>
      </w:r>
    </w:p>
    <w:p>
      <w:pPr>
        <w:spacing w:after="100" w:before="100"/>
        <w:ind w:left="200"/>
      </w:pPr>
      <w:r>
        <w:rPr>
          <w:rFonts w:ascii="Arial" w:cs="Arial" w:eastAsia="Arial" w:hAnsi="Arial"/>
          <w:b/>
          <w:bCs/>
          <w:color w:val="004D33"/>
          <w:sz w:val="20"/>
          <w:szCs w:val="20"/>
        </w:rPr>
        <w:t xml:space="preserve">6.  Analyse détaillée des cas d'usage</w:t>
      </w:r>
      <w:r>
        <w:rPr>
          <w:rFonts w:ascii="Arial" w:cs="Arial" w:eastAsia="Arial" w:hAnsi="Arial"/>
          <w:color w:val="404040"/>
          <w:sz w:val="20"/>
          <w:szCs w:val="20"/>
        </w:rPr>
        <w:t xml:space="preserve">  .....  p.20</w:t>
      </w:r>
    </w:p>
    <w:p>
      <w:pPr>
        <w:spacing w:after="100" w:before="100"/>
        <w:ind w:left="200"/>
      </w:pPr>
      <w:r>
        <w:rPr>
          <w:rFonts w:ascii="Arial" w:cs="Arial" w:eastAsia="Arial" w:hAnsi="Arial"/>
          <w:b/>
          <w:bCs/>
          <w:color w:val="004D33"/>
          <w:sz w:val="20"/>
          <w:szCs w:val="20"/>
        </w:rPr>
        <w:t xml:space="preserve">7.  Quick Wins vs Initiatives Transformationnelles</w:t>
      </w:r>
      <w:r>
        <w:rPr>
          <w:rFonts w:ascii="Arial" w:cs="Arial" w:eastAsia="Arial" w:hAnsi="Arial"/>
          <w:color w:val="404040"/>
          <w:sz w:val="20"/>
          <w:szCs w:val="20"/>
        </w:rPr>
        <w:t xml:space="preserve">  .....  p.35</w:t>
      </w:r>
    </w:p>
    <w:p>
      <w:pPr>
        <w:spacing w:after="100" w:before="100"/>
        <w:ind w:left="200"/>
      </w:pPr>
      <w:r>
        <w:rPr>
          <w:rFonts w:ascii="Arial" w:cs="Arial" w:eastAsia="Arial" w:hAnsi="Arial"/>
          <w:b/>
          <w:bCs/>
          <w:color w:val="004D33"/>
          <w:sz w:val="20"/>
          <w:szCs w:val="20"/>
        </w:rPr>
        <w:t xml:space="preserve">8.  Roadmap analytique de maturité</w:t>
      </w:r>
      <w:r>
        <w:rPr>
          <w:rFonts w:ascii="Arial" w:cs="Arial" w:eastAsia="Arial" w:hAnsi="Arial"/>
          <w:color w:val="404040"/>
          <w:sz w:val="20"/>
          <w:szCs w:val="20"/>
        </w:rPr>
        <w:t xml:space="preserve">  .....  p.37</w:t>
      </w:r>
    </w:p>
    <w:p>
      <w:pPr>
        <w:spacing w:after="100" w:before="100"/>
        <w:ind w:left="200"/>
      </w:pPr>
      <w:r>
        <w:rPr>
          <w:rFonts w:ascii="Arial" w:cs="Arial" w:eastAsia="Arial" w:hAnsi="Arial"/>
          <w:b/>
          <w:bCs/>
          <w:color w:val="004D33"/>
          <w:sz w:val="20"/>
          <w:szCs w:val="20"/>
        </w:rPr>
        <w:t xml:space="preserve">9.  Benchmarking : Banques mondiales avancées</w:t>
      </w:r>
      <w:r>
        <w:rPr>
          <w:rFonts w:ascii="Arial" w:cs="Arial" w:eastAsia="Arial" w:hAnsi="Arial"/>
          <w:color w:val="404040"/>
          <w:sz w:val="20"/>
          <w:szCs w:val="20"/>
        </w:rPr>
        <w:t xml:space="preserve">  .....  p.40</w:t>
      </w:r>
    </w:p>
    <w:p>
      <w:pPr>
        <w:spacing w:after="100" w:before="100"/>
        <w:ind w:left="200"/>
      </w:pPr>
      <w:r>
        <w:rPr>
          <w:rFonts w:ascii="Arial" w:cs="Arial" w:eastAsia="Arial" w:hAnsi="Arial"/>
          <w:b/>
          <w:bCs/>
          <w:color w:val="004D33"/>
          <w:sz w:val="20"/>
          <w:szCs w:val="20"/>
        </w:rPr>
        <w:t xml:space="preserve">10.  Idées concrètes d'amélioration revenu &amp; expérience</w:t>
      </w:r>
      <w:r>
        <w:rPr>
          <w:rFonts w:ascii="Arial" w:cs="Arial" w:eastAsia="Arial" w:hAnsi="Arial"/>
          <w:color w:val="404040"/>
          <w:sz w:val="20"/>
          <w:szCs w:val="20"/>
        </w:rPr>
        <w:t xml:space="preserve">  .....  p.44</w:t>
      </w:r>
    </w:p>
    <w:p>
      <w:pPr>
        <w:spacing w:after="100" w:before="100"/>
        <w:ind w:left="200"/>
      </w:pPr>
      <w:r>
        <w:rPr>
          <w:rFonts w:ascii="Arial" w:cs="Arial" w:eastAsia="Arial" w:hAnsi="Arial"/>
          <w:b/>
          <w:bCs/>
          <w:color w:val="004D33"/>
          <w:sz w:val="20"/>
          <w:szCs w:val="20"/>
        </w:rPr>
        <w:t xml:space="preserve">11.  Contraintes réglementaires &amp; enjeux éthiques</w:t>
      </w:r>
      <w:r>
        <w:rPr>
          <w:rFonts w:ascii="Arial" w:cs="Arial" w:eastAsia="Arial" w:hAnsi="Arial"/>
          <w:color w:val="404040"/>
          <w:sz w:val="20"/>
          <w:szCs w:val="20"/>
        </w:rPr>
        <w:t xml:space="preserve">  .....  p.47</w:t>
      </w:r>
    </w:p>
    <w:p>
      <w:pPr>
        <w:spacing w:after="100" w:before="100"/>
        <w:ind w:left="200"/>
      </w:pPr>
      <w:r>
        <w:rPr>
          <w:rFonts w:ascii="Arial" w:cs="Arial" w:eastAsia="Arial" w:hAnsi="Arial"/>
          <w:b/>
          <w:bCs/>
          <w:color w:val="004D33"/>
          <w:sz w:val="20"/>
          <w:szCs w:val="20"/>
        </w:rPr>
        <w:t xml:space="preserve">12.  Architecture cible &amp; Priorisation</w:t>
      </w:r>
      <w:r>
        <w:rPr>
          <w:rFonts w:ascii="Arial" w:cs="Arial" w:eastAsia="Arial" w:hAnsi="Arial"/>
          <w:color w:val="404040"/>
          <w:sz w:val="20"/>
          <w:szCs w:val="20"/>
        </w:rPr>
        <w:t xml:space="preserve">  .....  p.50</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01  </w:t>
      </w:r>
      <w:r>
        <w:rPr>
          <w:rFonts w:ascii="Arial" w:cs="Arial" w:eastAsia="Arial" w:hAnsi="Arial"/>
          <w:b/>
          <w:bCs/>
          <w:color w:val="FFFFFF"/>
          <w:sz w:val="36"/>
          <w:szCs w:val="36"/>
        </w:rPr>
        <w:t xml:space="preserve">FONDEMENTS DE LA TARIFICATION BANCAIRE B2B</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  Vue d'ensemble — Comment une grande institution financière tarifie ses produits entreprises</w:t>
      </w:r>
    </w:p>
    <w:p>
      <w:pPr>
        <w:spacing w:after="80" w:before="80"/>
      </w:pPr>
      <w:r>
        <w:rPr>
          <w:rFonts w:ascii="Arial" w:cs="Arial" w:eastAsia="Arial" w:hAnsi="Arial"/>
          <w:color w:val="404040"/>
          <w:sz w:val="20"/>
          <w:szCs w:val="20"/>
        </w:rPr>
        <w:t xml:space="preserve">La tarification bancaire en services aux entreprises est un processus multidimensionnel qui équilibre rentabilité ajustée au risque, compétitivité commerciale, coût réglementaire et relation globale avec le client. Contrairement à la tarification retail (standardisée, algorithmique), la tarification B2B intègre une dimension de négociation individuelle encadrée par des politiques de pricing et des outils d'aide à la décision.</w:t>
      </w:r>
    </w:p>
    <w:p>
      <w:pPr>
        <w:spacing w:before="100"/>
      </w:pPr>
      <w:r>
        <w:t xml:space="preserve"/>
      </w:r>
    </w:p>
    <w:p>
      <w:pPr>
        <w:pStyle w:val="Heading3"/>
        <w:spacing w:after="100" w:before="200"/>
      </w:pPr>
      <w:r>
        <w:rPr>
          <w:rFonts w:ascii="Arial" w:cs="Arial" w:eastAsia="Arial" w:hAnsi="Arial"/>
          <w:b/>
          <w:bCs/>
          <w:color w:val="1B4F8A"/>
          <w:sz w:val="22"/>
          <w:szCs w:val="22"/>
        </w:rPr>
        <w:t xml:space="preserve">1.2  Prêts commerciaux</w:t>
      </w:r>
    </w:p>
    <w:p>
      <w:pPr>
        <w:spacing w:after="80" w:before="80"/>
      </w:pPr>
      <w:r>
        <w:rPr>
          <w:rFonts w:ascii="Arial" w:cs="Arial" w:eastAsia="Arial" w:hAnsi="Arial"/>
          <w:color w:val="404040"/>
          <w:sz w:val="20"/>
          <w:szCs w:val="20"/>
        </w:rPr>
        <w:t xml:space="preserve">Le taux d'un prêt commercial se décompose en plusieurs couches cumulatives :</w:t>
      </w:r>
    </w:p>
    <w:p>
      <w:pPr>
        <w:pStyle w:val="ListParagraph"/>
        <w:numPr>
          <w:ilvl w:val="0"/>
          <w:numId w:val="2"/>
        </w:numPr>
        <w:spacing w:after="60" w:before="60"/>
      </w:pPr>
      <w:r>
        <w:rPr>
          <w:rFonts w:ascii="Arial" w:cs="Arial" w:eastAsia="Arial" w:hAnsi="Arial"/>
          <w:b w:val="false"/>
          <w:bCs w:val="false"/>
          <w:color w:val="404040"/>
          <w:sz w:val="20"/>
          <w:szCs w:val="20"/>
        </w:rPr>
        <w:t xml:space="preserve">Taux de référence (base rate) : CORRA au Canada (successeur du CDOR post-2024), prime rate, ou taux swap selon la durée</w:t>
      </w:r>
    </w:p>
    <w:p>
      <w:pPr>
        <w:pStyle w:val="ListParagraph"/>
        <w:numPr>
          <w:ilvl w:val="0"/>
          <w:numId w:val="2"/>
        </w:numPr>
        <w:spacing w:after="60" w:before="60"/>
      </w:pPr>
      <w:r>
        <w:rPr>
          <w:rFonts w:ascii="Arial" w:cs="Arial" w:eastAsia="Arial" w:hAnsi="Arial"/>
          <w:b w:val="false"/>
          <w:bCs w:val="false"/>
          <w:color w:val="404040"/>
          <w:sz w:val="20"/>
          <w:szCs w:val="20"/>
        </w:rPr>
        <w:t xml:space="preserve">Spread de crédit : prime ajustée au risque du client (notation interne, PD, LGD, EAD)</w:t>
      </w:r>
    </w:p>
    <w:p>
      <w:pPr>
        <w:pStyle w:val="ListParagraph"/>
        <w:numPr>
          <w:ilvl w:val="0"/>
          <w:numId w:val="2"/>
        </w:numPr>
        <w:spacing w:after="60" w:before="60"/>
      </w:pPr>
      <w:r>
        <w:rPr>
          <w:rFonts w:ascii="Arial" w:cs="Arial" w:eastAsia="Arial" w:hAnsi="Arial"/>
          <w:b w:val="false"/>
          <w:bCs w:val="false"/>
          <w:color w:val="404040"/>
          <w:sz w:val="20"/>
          <w:szCs w:val="20"/>
        </w:rPr>
        <w:t xml:space="preserve">Prime de liquidité : coût de financement de la banque pour la durée du prêt</w:t>
      </w:r>
    </w:p>
    <w:p>
      <w:pPr>
        <w:pStyle w:val="ListParagraph"/>
        <w:numPr>
          <w:ilvl w:val="0"/>
          <w:numId w:val="2"/>
        </w:numPr>
        <w:spacing w:after="60" w:before="60"/>
      </w:pPr>
      <w:r>
        <w:rPr>
          <w:rFonts w:ascii="Arial" w:cs="Arial" w:eastAsia="Arial" w:hAnsi="Arial"/>
          <w:b w:val="false"/>
          <w:bCs w:val="false"/>
          <w:color w:val="404040"/>
          <w:sz w:val="20"/>
          <w:szCs w:val="20"/>
        </w:rPr>
        <w:t xml:space="preserve">Coût de capital réglementaire : charge en capital selon Bâle III/IV (RWA)</w:t>
      </w:r>
    </w:p>
    <w:p>
      <w:pPr>
        <w:pStyle w:val="ListParagraph"/>
        <w:numPr>
          <w:ilvl w:val="0"/>
          <w:numId w:val="2"/>
        </w:numPr>
        <w:spacing w:after="60" w:before="60"/>
      </w:pPr>
      <w:r>
        <w:rPr>
          <w:rFonts w:ascii="Arial" w:cs="Arial" w:eastAsia="Arial" w:hAnsi="Arial"/>
          <w:b w:val="false"/>
          <w:bCs w:val="false"/>
          <w:color w:val="404040"/>
          <w:sz w:val="20"/>
          <w:szCs w:val="20"/>
        </w:rPr>
        <w:t xml:space="preserve">Marge d'exploitation : frais de gestion, origination, monitoring</w:t>
      </w:r>
    </w:p>
    <w:p>
      <w:pPr>
        <w:pStyle w:val="ListParagraph"/>
        <w:numPr>
          <w:ilvl w:val="0"/>
          <w:numId w:val="2"/>
        </w:numPr>
        <w:spacing w:after="60" w:before="60"/>
      </w:pPr>
      <w:r>
        <w:rPr>
          <w:rFonts w:ascii="Arial" w:cs="Arial" w:eastAsia="Arial" w:hAnsi="Arial"/>
          <w:b w:val="false"/>
          <w:bCs w:val="false"/>
          <w:color w:val="404040"/>
          <w:sz w:val="20"/>
          <w:szCs w:val="20"/>
        </w:rPr>
        <w:t xml:space="preserve">Prime de relation : ajustement selon la profondeur de la relation globale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780"/>
        <w:gridCol w:w="2780"/>
      </w:tblGrid>
      <w:tr>
        <w:trPr>
          <w:tblHeader/>
        </w:trPr>
        <w:tc>
          <w:tcPr>
            <w:tcW w:type="dxa" w:w="2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w:t>
            </w:r>
          </w:p>
        </w:tc>
        <w:tc>
          <w:tcPr>
            <w:tcW w:type="dxa" w:w="2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17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typique (pb)</w:t>
            </w:r>
          </w:p>
        </w:tc>
        <w:tc>
          <w:tcPr>
            <w:tcW w:type="dxa" w:w="27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Pilotage par</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base (CORRA)</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sans risque de marché</w:t>
            </w:r>
          </w:p>
        </w:tc>
        <w:tc>
          <w:tcPr>
            <w:tcW w:type="dxa" w:w="1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Variable (marché)</w:t>
            </w:r>
          </w:p>
        </w:tc>
        <w:tc>
          <w:tcPr>
            <w:tcW w:type="dxa" w:w="2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Marchés financiers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Spread de crédit</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Prime pour risque client</w:t>
            </w:r>
          </w:p>
        </w:tc>
        <w:tc>
          <w:tcPr>
            <w:tcW w:type="dxa" w:w="1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50 – 400 pb</w:t>
            </w:r>
          </w:p>
        </w:tc>
        <w:tc>
          <w:tcPr>
            <w:tcW w:type="dxa" w:w="2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de risque (PD/LGD)</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Prime de liquidité</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 du funding bank</w:t>
            </w:r>
          </w:p>
        </w:tc>
        <w:tc>
          <w:tcPr>
            <w:tcW w:type="dxa" w:w="1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 – 80 pb</w:t>
            </w:r>
          </w:p>
        </w:tc>
        <w:tc>
          <w:tcPr>
            <w:tcW w:type="dxa" w:w="2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ALM / Trésorerie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Charge en capital</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 Bâle III (RWA × RORWA)</w:t>
            </w:r>
          </w:p>
        </w:tc>
        <w:tc>
          <w:tcPr>
            <w:tcW w:type="dxa" w:w="1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 – 150 pb</w:t>
            </w:r>
          </w:p>
        </w:tc>
        <w:tc>
          <w:tcPr>
            <w:tcW w:type="dxa" w:w="2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 Finance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Frais d'exploitation</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Origination, suivi, admin</w:t>
            </w:r>
          </w:p>
        </w:tc>
        <w:tc>
          <w:tcPr>
            <w:tcW w:type="dxa" w:w="1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 – 50 pb</w:t>
            </w:r>
          </w:p>
        </w:tc>
        <w:tc>
          <w:tcPr>
            <w:tcW w:type="dxa" w:w="2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Opérations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 relation</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Discount relation globale</w:t>
            </w:r>
          </w:p>
        </w:tc>
        <w:tc>
          <w:tcPr>
            <w:tcW w:type="dxa" w:w="1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 à -80 pb</w:t>
            </w:r>
          </w:p>
        </w:tc>
        <w:tc>
          <w:tcPr>
            <w:tcW w:type="dxa" w:w="2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Directeur de compte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Prime de marché</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Compétitivité vs concurrents</w:t>
            </w:r>
          </w:p>
        </w:tc>
        <w:tc>
          <w:tcPr>
            <w:tcW w:type="dxa" w:w="1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 à +40 pb</w:t>
            </w:r>
          </w:p>
        </w:tc>
        <w:tc>
          <w:tcPr>
            <w:tcW w:type="dxa" w:w="2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Intel concurrentielle</w:t>
            </w:r>
          </w:p>
        </w:tc>
      </w:tr>
    </w:tbl>
    <w:p>
      <w:pPr>
        <w:spacing w:before="200"/>
      </w:pPr>
      <w:r>
        <w:t xml:space="preserve"/>
      </w:r>
    </w:p>
    <w:p>
      <w:pPr>
        <w:pStyle w:val="Heading3"/>
        <w:spacing w:after="100" w:before="200"/>
      </w:pPr>
      <w:r>
        <w:rPr>
          <w:rFonts w:ascii="Arial" w:cs="Arial" w:eastAsia="Arial" w:hAnsi="Arial"/>
          <w:b/>
          <w:bCs/>
          <w:color w:val="1B4F8A"/>
          <w:sz w:val="22"/>
          <w:szCs w:val="22"/>
        </w:rPr>
        <w:t xml:space="preserve">1.3  Marges de crédit (lignes revolving)</w:t>
      </w:r>
    </w:p>
    <w:p>
      <w:pPr>
        <w:spacing w:after="80" w:before="80"/>
      </w:pPr>
      <w:r>
        <w:rPr>
          <w:rFonts w:ascii="Arial" w:cs="Arial" w:eastAsia="Arial" w:hAnsi="Arial"/>
          <w:color w:val="404040"/>
          <w:sz w:val="20"/>
          <w:szCs w:val="20"/>
        </w:rPr>
        <w:t xml:space="preserve">Les marges de crédit incluent plusieurs composantes tarifaires distinctes :</w:t>
      </w:r>
    </w:p>
    <w:p>
      <w:pPr>
        <w:pStyle w:val="ListParagraph"/>
        <w:numPr>
          <w:ilvl w:val="0"/>
          <w:numId w:val="2"/>
        </w:numPr>
        <w:spacing w:after="60" w:before="60"/>
      </w:pPr>
      <w:r>
        <w:rPr>
          <w:rFonts w:ascii="Arial" w:cs="Arial" w:eastAsia="Arial" w:hAnsi="Arial"/>
          <w:b w:val="false"/>
          <w:bCs w:val="false"/>
          <w:color w:val="404040"/>
          <w:sz w:val="20"/>
          <w:szCs w:val="20"/>
        </w:rPr>
        <w:t xml:space="preserve">Taux d'utilisation (drawn rate) : taux appliqué sur le montant utilisé</w:t>
      </w:r>
    </w:p>
    <w:p>
      <w:pPr>
        <w:pStyle w:val="ListParagraph"/>
        <w:numPr>
          <w:ilvl w:val="0"/>
          <w:numId w:val="2"/>
        </w:numPr>
        <w:spacing w:after="60" w:before="60"/>
      </w:pPr>
      <w:r>
        <w:rPr>
          <w:rFonts w:ascii="Arial" w:cs="Arial" w:eastAsia="Arial" w:hAnsi="Arial"/>
          <w:b w:val="false"/>
          <w:bCs w:val="false"/>
          <w:color w:val="404040"/>
          <w:sz w:val="20"/>
          <w:szCs w:val="20"/>
        </w:rPr>
        <w:t xml:space="preserve">Commission de non-utilisation (commitment fee) : 0,15 % à 0,50 % annuel sur la portion inutilisée</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d'engagement annuels : flat fee ou basé sur la facilité</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 structuration (upfront fee) : versé à la mise en place</w:t>
      </w:r>
    </w:p>
    <w:p>
      <w:pPr>
        <w:spacing w:after="80" w:before="80"/>
      </w:pPr>
      <w:r>
        <w:rPr>
          <w:rFonts w:ascii="Arial" w:cs="Arial" w:eastAsia="Arial" w:hAnsi="Arial"/>
          <w:color w:val="404040"/>
          <w:sz w:val="20"/>
          <w:szCs w:val="20"/>
        </w:rPr>
        <w:t xml:space="preserve">L'optimisation analytique des marges de crédit doit modéliser le comportement d'utilisation (draw-down patterns) pour optimiser la rentabilité ajustée au risque de liquidité.</w:t>
      </w:r>
    </w:p>
    <w:p>
      <w:pPr>
        <w:spacing w:before="100"/>
      </w:pPr>
      <w:r>
        <w:t xml:space="preserve"/>
      </w:r>
    </w:p>
    <w:p>
      <w:pPr>
        <w:pStyle w:val="Heading3"/>
        <w:spacing w:after="100" w:before="200"/>
      </w:pPr>
      <w:r>
        <w:rPr>
          <w:rFonts w:ascii="Arial" w:cs="Arial" w:eastAsia="Arial" w:hAnsi="Arial"/>
          <w:b/>
          <w:bCs/>
          <w:color w:val="1B4F8A"/>
          <w:sz w:val="22"/>
          <w:szCs w:val="22"/>
        </w:rPr>
        <w:t xml:space="preserve">1.4  Dépôts et gestion de trésorerie</w:t>
      </w:r>
    </w:p>
    <w:p>
      <w:pPr>
        <w:spacing w:after="80" w:before="80"/>
      </w:pPr>
      <w:r>
        <w:rPr>
          <w:rFonts w:ascii="Arial" w:cs="Arial" w:eastAsia="Arial" w:hAnsi="Arial"/>
          <w:color w:val="404040"/>
          <w:sz w:val="20"/>
          <w:szCs w:val="20"/>
        </w:rPr>
        <w:t xml:space="preserve">La tarification des dépôts entreprises est le miroir inverse du crédit. La banque paie un taux de dépôt qui reflète :</w:t>
      </w:r>
    </w:p>
    <w:p>
      <w:pPr>
        <w:pStyle w:val="ListParagraph"/>
        <w:numPr>
          <w:ilvl w:val="0"/>
          <w:numId w:val="2"/>
        </w:numPr>
        <w:spacing w:after="60" w:before="60"/>
      </w:pPr>
      <w:r>
        <w:rPr>
          <w:rFonts w:ascii="Arial" w:cs="Arial" w:eastAsia="Arial" w:hAnsi="Arial"/>
          <w:b w:val="false"/>
          <w:bCs w:val="false"/>
          <w:color w:val="404040"/>
          <w:sz w:val="20"/>
          <w:szCs w:val="20"/>
        </w:rPr>
        <w:t xml:space="preserve">Le taux de politique monétaire (Banque du Canada)</w:t>
      </w:r>
    </w:p>
    <w:p>
      <w:pPr>
        <w:pStyle w:val="ListParagraph"/>
        <w:numPr>
          <w:ilvl w:val="0"/>
          <w:numId w:val="2"/>
        </w:numPr>
        <w:spacing w:after="60" w:before="60"/>
      </w:pPr>
      <w:r>
        <w:rPr>
          <w:rFonts w:ascii="Arial" w:cs="Arial" w:eastAsia="Arial" w:hAnsi="Arial"/>
          <w:b w:val="false"/>
          <w:bCs w:val="false"/>
          <w:color w:val="404040"/>
          <w:sz w:val="20"/>
          <w:szCs w:val="20"/>
        </w:rPr>
        <w:t xml:space="preserve">La valeur stratégique des dépôts comme source de financement stable (LCR, NSFR sous Bâle III)</w:t>
      </w:r>
    </w:p>
    <w:p>
      <w:pPr>
        <w:pStyle w:val="ListParagraph"/>
        <w:numPr>
          <w:ilvl w:val="0"/>
          <w:numId w:val="2"/>
        </w:numPr>
        <w:spacing w:after="60" w:before="60"/>
      </w:pPr>
      <w:r>
        <w:rPr>
          <w:rFonts w:ascii="Arial" w:cs="Arial" w:eastAsia="Arial" w:hAnsi="Arial"/>
          <w:b w:val="false"/>
          <w:bCs w:val="false"/>
          <w:color w:val="404040"/>
          <w:sz w:val="20"/>
          <w:szCs w:val="20"/>
        </w:rPr>
        <w:t xml:space="preserve">La compensation croisée avec les produits de crédit (relationship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La concurrence directe des fonds du marché monétaire et des challengers digitaux (EQ Bank)</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 de dépôt</w:t>
            </w:r>
          </w:p>
        </w:tc>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Caractéristique</w:t>
            </w:r>
          </w:p>
        </w:tc>
        <w:tc>
          <w:tcPr>
            <w:tcW w:type="dxa" w:w="26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Taux typique (vs taux directeur)</w:t>
            </w:r>
          </w:p>
        </w:tc>
        <w:tc>
          <w:tcPr>
            <w:tcW w:type="dxa" w:w="21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Valeur stratégique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Compte opérationnel</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stable, faible rendement</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0 % à 20 % du taux directeur</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élevée (float, croix)</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Compte d'épargne affaires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Semi-stable, plus sensible</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30 % à 60 % du taux directeur</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Dépôt à terme (GIC)</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Stable, rendement élevé</w:t>
            </w:r>
          </w:p>
        </w:tc>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80 % à 100 % du taux directeur</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 (coût élevé)</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Dépôt overnight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Volatile, marché</w:t>
            </w:r>
          </w:p>
        </w:tc>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Proche du taux marché</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 (instable)</w:t>
            </w:r>
          </w:p>
        </w:tc>
      </w:tr>
    </w:tbl>
    <w:p>
      <w:pPr>
        <w:spacing w:before="200"/>
      </w:pPr>
      <w:r>
        <w:t xml:space="preserve"/>
      </w:r>
    </w:p>
    <w:p>
      <w:pPr>
        <w:pStyle w:val="Heading3"/>
        <w:spacing w:after="100" w:before="200"/>
      </w:pPr>
      <w:r>
        <w:rPr>
          <w:rFonts w:ascii="Arial" w:cs="Arial" w:eastAsia="Arial" w:hAnsi="Arial"/>
          <w:b/>
          <w:bCs/>
          <w:color w:val="1B4F8A"/>
          <w:sz w:val="22"/>
          <w:szCs w:val="22"/>
        </w:rPr>
        <w:t xml:space="preserve">1.5  Frais bancaires &amp; Cash Management</w:t>
      </w:r>
    </w:p>
    <w:p>
      <w:pPr>
        <w:spacing w:after="80" w:before="80"/>
      </w:pPr>
      <w:r>
        <w:rPr>
          <w:rFonts w:ascii="Arial" w:cs="Arial" w:eastAsia="Arial" w:hAnsi="Arial"/>
          <w:color w:val="404040"/>
          <w:sz w:val="20"/>
          <w:szCs w:val="20"/>
        </w:rPr>
        <w:t xml:space="preserve">Les frais de services constituent une source de revenu récurrent à haute marge (pas de coût en capital réglementaire). Ils comprennent :</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 compte : mensuel fixe + tarification à l'acte (par transaction)</w:t>
      </w:r>
    </w:p>
    <w:p>
      <w:pPr>
        <w:pStyle w:val="ListParagraph"/>
        <w:numPr>
          <w:ilvl w:val="0"/>
          <w:numId w:val="2"/>
        </w:numPr>
        <w:spacing w:after="60" w:before="60"/>
      </w:pPr>
      <w:r>
        <w:rPr>
          <w:rFonts w:ascii="Arial" w:cs="Arial" w:eastAsia="Arial" w:hAnsi="Arial"/>
          <w:b w:val="false"/>
          <w:bCs w:val="false"/>
          <w:color w:val="404040"/>
          <w:sz w:val="20"/>
          <w:szCs w:val="20"/>
        </w:rPr>
        <w:t xml:space="preserve">Services de paiement : virements SWIFT, ACH/EFT, paiements de masse</w:t>
      </w:r>
    </w:p>
    <w:p>
      <w:pPr>
        <w:pStyle w:val="ListParagraph"/>
        <w:numPr>
          <w:ilvl w:val="0"/>
          <w:numId w:val="2"/>
        </w:numPr>
        <w:spacing w:after="60" w:before="60"/>
      </w:pPr>
      <w:r>
        <w:rPr>
          <w:rFonts w:ascii="Arial" w:cs="Arial" w:eastAsia="Arial" w:hAnsi="Arial"/>
          <w:b w:val="false"/>
          <w:bCs w:val="false"/>
          <w:color w:val="404040"/>
          <w:sz w:val="20"/>
          <w:szCs w:val="20"/>
        </w:rPr>
        <w:t xml:space="preserve">Gestion de liquidité : sweeping, pooling, notional pooling pour groupes corporatifs</w:t>
      </w:r>
    </w:p>
    <w:p>
      <w:pPr>
        <w:pStyle w:val="ListParagraph"/>
        <w:numPr>
          <w:ilvl w:val="0"/>
          <w:numId w:val="2"/>
        </w:numPr>
        <w:spacing w:after="60" w:before="60"/>
      </w:pPr>
      <w:r>
        <w:rPr>
          <w:rFonts w:ascii="Arial" w:cs="Arial" w:eastAsia="Arial" w:hAnsi="Arial"/>
          <w:b w:val="false"/>
          <w:bCs w:val="false"/>
          <w:color w:val="404040"/>
          <w:sz w:val="20"/>
          <w:szCs w:val="20"/>
        </w:rPr>
        <w:t xml:space="preserve">Services de paie : plateforme, support, conformité fiscale</w:t>
      </w:r>
    </w:p>
    <w:p>
      <w:pPr>
        <w:pStyle w:val="ListParagraph"/>
        <w:numPr>
          <w:ilvl w:val="0"/>
          <w:numId w:val="2"/>
        </w:numPr>
        <w:spacing w:after="60" w:before="60"/>
      </w:pPr>
      <w:r>
        <w:rPr>
          <w:rFonts w:ascii="Arial" w:cs="Arial" w:eastAsia="Arial" w:hAnsi="Arial"/>
          <w:b w:val="false"/>
          <w:bCs w:val="false"/>
          <w:color w:val="404040"/>
          <w:sz w:val="20"/>
          <w:szCs w:val="20"/>
        </w:rPr>
        <w:t xml:space="preserve">Financement de chaîne d'approvisionnement : supply chain finance, reverse factoring</w:t>
      </w:r>
    </w:p>
    <w:p>
      <w:pPr>
        <w:spacing w:before="100"/>
      </w:pPr>
      <w:r>
        <w:t xml:space="preserve"/>
      </w:r>
    </w:p>
    <w:p>
      <w:pPr>
        <w:pStyle w:val="Heading3"/>
        <w:spacing w:after="100" w:before="200"/>
      </w:pPr>
      <w:r>
        <w:rPr>
          <w:rFonts w:ascii="Arial" w:cs="Arial" w:eastAsia="Arial" w:hAnsi="Arial"/>
          <w:b/>
          <w:bCs/>
          <w:color w:val="1B4F8A"/>
          <w:sz w:val="22"/>
          <w:szCs w:val="22"/>
        </w:rPr>
        <w:t xml:space="preserve">1.6  Change (FX) et produits internationaux</w:t>
      </w:r>
    </w:p>
    <w:p>
      <w:pPr>
        <w:spacing w:after="80" w:before="80"/>
      </w:pPr>
      <w:r>
        <w:rPr>
          <w:rFonts w:ascii="Arial" w:cs="Arial" w:eastAsia="Arial" w:hAnsi="Arial"/>
          <w:color w:val="404040"/>
          <w:sz w:val="20"/>
          <w:szCs w:val="20"/>
        </w:rPr>
        <w:t xml:space="preserve">La tarification FX pour les entreprises combine :</w:t>
      </w:r>
    </w:p>
    <w:p>
      <w:pPr>
        <w:pStyle w:val="ListParagraph"/>
        <w:numPr>
          <w:ilvl w:val="0"/>
          <w:numId w:val="2"/>
        </w:numPr>
        <w:spacing w:after="60" w:before="60"/>
      </w:pPr>
      <w:r>
        <w:rPr>
          <w:rFonts w:ascii="Arial" w:cs="Arial" w:eastAsia="Arial" w:hAnsi="Arial"/>
          <w:b w:val="false"/>
          <w:bCs w:val="false"/>
          <w:color w:val="404040"/>
          <w:sz w:val="20"/>
          <w:szCs w:val="20"/>
        </w:rPr>
        <w:t xml:space="preserve">Spread sur le mid-market (bid/offer spread) : typiquement 0,1 % à 1,5 % selon le volume</w:t>
      </w:r>
    </w:p>
    <w:p>
      <w:pPr>
        <w:pStyle w:val="ListParagraph"/>
        <w:numPr>
          <w:ilvl w:val="0"/>
          <w:numId w:val="2"/>
        </w:numPr>
        <w:spacing w:after="60" w:before="60"/>
      </w:pPr>
      <w:r>
        <w:rPr>
          <w:rFonts w:ascii="Arial" w:cs="Arial" w:eastAsia="Arial" w:hAnsi="Arial"/>
          <w:b w:val="false"/>
          <w:bCs w:val="false"/>
          <w:color w:val="404040"/>
          <w:sz w:val="20"/>
          <w:szCs w:val="20"/>
        </w:rPr>
        <w:t xml:space="preserve">Produits dérivés de couverture : options, forwards, swaps — spreads de structuration</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 correspondants bancaires (SWIFT) : fixes par transaction</w:t>
      </w:r>
    </w:p>
    <w:p>
      <w:pPr>
        <w:pStyle w:val="ListParagraph"/>
        <w:numPr>
          <w:ilvl w:val="0"/>
          <w:numId w:val="2"/>
        </w:numPr>
        <w:spacing w:after="60" w:before="60"/>
      </w:pPr>
      <w:r>
        <w:rPr>
          <w:rFonts w:ascii="Arial" w:cs="Arial" w:eastAsia="Arial" w:hAnsi="Arial"/>
          <w:b w:val="false"/>
          <w:bCs w:val="false"/>
          <w:color w:val="404040"/>
          <w:sz w:val="20"/>
          <w:szCs w:val="20"/>
        </w:rPr>
        <w:t xml:space="preserve">Services de comptes en devises : frais de tenue, conversions automatiques</w:t>
      </w:r>
    </w:p>
    <w:p>
      <w:pPr>
        <w:spacing w:before="100"/>
      </w:pPr>
      <w:r>
        <w:t xml:space="preserve"/>
      </w:r>
    </w:p>
    <w:p>
      <w:pPr>
        <w:pStyle w:val="Heading3"/>
        <w:spacing w:after="100" w:before="200"/>
      </w:pPr>
      <w:r>
        <w:rPr>
          <w:rFonts w:ascii="Arial" w:cs="Arial" w:eastAsia="Arial" w:hAnsi="Arial"/>
          <w:b/>
          <w:bCs/>
          <w:color w:val="1B4F8A"/>
          <w:sz w:val="22"/>
          <w:szCs w:val="22"/>
        </w:rPr>
        <w:t xml:space="preserve">1.7  Cartes commerciales</w:t>
      </w:r>
    </w:p>
    <w:p>
      <w:pPr>
        <w:spacing w:after="80" w:before="80"/>
      </w:pPr>
      <w:r>
        <w:rPr>
          <w:rFonts w:ascii="Arial" w:cs="Arial" w:eastAsia="Arial" w:hAnsi="Arial"/>
          <w:color w:val="404040"/>
          <w:sz w:val="20"/>
          <w:szCs w:val="20"/>
        </w:rPr>
        <w:t xml:space="preserve">Le modèle de revenu des cartes commerciales est quadripartite :</w:t>
      </w:r>
    </w:p>
    <w:p>
      <w:pPr>
        <w:pStyle w:val="ListParagraph"/>
        <w:numPr>
          <w:ilvl w:val="0"/>
          <w:numId w:val="2"/>
        </w:numPr>
        <w:spacing w:after="60" w:before="60"/>
      </w:pPr>
      <w:r>
        <w:rPr>
          <w:rFonts w:ascii="Arial" w:cs="Arial" w:eastAsia="Arial" w:hAnsi="Arial"/>
          <w:b w:val="false"/>
          <w:bCs w:val="false"/>
          <w:color w:val="404040"/>
          <w:sz w:val="20"/>
          <w:szCs w:val="20"/>
        </w:rPr>
        <w:t xml:space="preserve">Interchange : perçu par la banque émettrice sur chaque transaction (1,5 % à 2,5 %)</w:t>
      </w:r>
    </w:p>
    <w:p>
      <w:pPr>
        <w:pStyle w:val="ListParagraph"/>
        <w:numPr>
          <w:ilvl w:val="0"/>
          <w:numId w:val="2"/>
        </w:numPr>
        <w:spacing w:after="60" w:before="60"/>
      </w:pPr>
      <w:r>
        <w:rPr>
          <w:rFonts w:ascii="Arial" w:cs="Arial" w:eastAsia="Arial" w:hAnsi="Arial"/>
          <w:b w:val="false"/>
          <w:bCs w:val="false"/>
          <w:color w:val="404040"/>
          <w:sz w:val="20"/>
          <w:szCs w:val="20"/>
        </w:rPr>
        <w:t xml:space="preserve">Cotisation annuelle : fixe par carte ou par programme</w:t>
      </w:r>
    </w:p>
    <w:p>
      <w:pPr>
        <w:pStyle w:val="ListParagraph"/>
        <w:numPr>
          <w:ilvl w:val="0"/>
          <w:numId w:val="2"/>
        </w:numPr>
        <w:spacing w:after="60" w:before="60"/>
      </w:pPr>
      <w:r>
        <w:rPr>
          <w:rFonts w:ascii="Arial" w:cs="Arial" w:eastAsia="Arial" w:hAnsi="Arial"/>
          <w:b w:val="false"/>
          <w:bCs w:val="false"/>
          <w:color w:val="404040"/>
          <w:sz w:val="20"/>
          <w:szCs w:val="20"/>
        </w:rPr>
        <w:t xml:space="preserve">Intérêts sur soldes portés : applicable en mode crédit revolving</w:t>
      </w:r>
    </w:p>
    <w:p>
      <w:pPr>
        <w:pStyle w:val="ListParagraph"/>
        <w:numPr>
          <w:ilvl w:val="0"/>
          <w:numId w:val="2"/>
        </w:numPr>
        <w:spacing w:after="60" w:before="60"/>
      </w:pPr>
      <w:r>
        <w:rPr>
          <w:rFonts w:ascii="Arial" w:cs="Arial" w:eastAsia="Arial" w:hAnsi="Arial"/>
          <w:b w:val="false"/>
          <w:bCs w:val="false"/>
          <w:color w:val="404040"/>
          <w:sz w:val="20"/>
          <w:szCs w:val="20"/>
        </w:rPr>
        <w:t xml:space="preserve">Frais de dépassement, change étranger, services premium</w:t>
      </w:r>
    </w:p>
    <w:p>
      <w:pPr>
        <w:spacing w:before="100"/>
      </w:pPr>
      <w:r>
        <w:t xml:space="preserve"/>
      </w:r>
    </w:p>
    <w:p>
      <w:pPr>
        <w:pStyle w:val="Heading3"/>
        <w:spacing w:after="100" w:before="200"/>
      </w:pPr>
      <w:r>
        <w:rPr>
          <w:rFonts w:ascii="Arial" w:cs="Arial" w:eastAsia="Arial" w:hAnsi="Arial"/>
          <w:b/>
          <w:bCs/>
          <w:color w:val="1B4F8A"/>
          <w:sz w:val="22"/>
          <w:szCs w:val="22"/>
        </w:rPr>
        <w:t xml:space="preserve">1.8  Produits spécialisés</w:t>
      </w:r>
    </w:p>
    <w:p>
      <w:pPr>
        <w:spacing w:after="80" w:before="80"/>
      </w:pPr>
      <w:r>
        <w:rPr>
          <w:rFonts w:ascii="Arial" w:cs="Arial" w:eastAsia="Arial" w:hAnsi="Arial"/>
          <w:color w:val="404040"/>
          <w:sz w:val="20"/>
          <w:szCs w:val="20"/>
        </w:rPr>
        <w:t xml:space="preserve">Les produits spécialisés (financement structuré, lettres de crédit, garanties bancaires, affacturage, financement d'acquisition) appliquent une tarification basée sur :</w:t>
      </w:r>
    </w:p>
    <w:p>
      <w:pPr>
        <w:pStyle w:val="ListParagraph"/>
        <w:numPr>
          <w:ilvl w:val="0"/>
          <w:numId w:val="2"/>
        </w:numPr>
        <w:spacing w:after="60" w:before="60"/>
      </w:pPr>
      <w:r>
        <w:rPr>
          <w:rFonts w:ascii="Arial" w:cs="Arial" w:eastAsia="Arial" w:hAnsi="Arial"/>
          <w:b w:val="false"/>
          <w:bCs w:val="false"/>
          <w:color w:val="404040"/>
          <w:sz w:val="20"/>
          <w:szCs w:val="20"/>
        </w:rPr>
        <w:t xml:space="preserve">Le risque spécifique de la structure (LTV, subordination, sûretés)</w:t>
      </w:r>
    </w:p>
    <w:p>
      <w:pPr>
        <w:pStyle w:val="ListParagraph"/>
        <w:numPr>
          <w:ilvl w:val="0"/>
          <w:numId w:val="2"/>
        </w:numPr>
        <w:spacing w:after="60" w:before="60"/>
      </w:pPr>
      <w:r>
        <w:rPr>
          <w:rFonts w:ascii="Arial" w:cs="Arial" w:eastAsia="Arial" w:hAnsi="Arial"/>
          <w:b w:val="false"/>
          <w:bCs w:val="false"/>
          <w:color w:val="404040"/>
          <w:sz w:val="20"/>
          <w:szCs w:val="20"/>
        </w:rPr>
        <w:t xml:space="preserve">La complexité de la transaction et l'expertise déployée</w:t>
      </w:r>
    </w:p>
    <w:p>
      <w:pPr>
        <w:pStyle w:val="ListParagraph"/>
        <w:numPr>
          <w:ilvl w:val="0"/>
          <w:numId w:val="2"/>
        </w:numPr>
        <w:spacing w:after="60" w:before="60"/>
      </w:pPr>
      <w:r>
        <w:rPr>
          <w:rFonts w:ascii="Arial" w:cs="Arial" w:eastAsia="Arial" w:hAnsi="Arial"/>
          <w:b w:val="false"/>
          <w:bCs w:val="false"/>
          <w:color w:val="404040"/>
          <w:sz w:val="20"/>
          <w:szCs w:val="20"/>
        </w:rPr>
        <w:t xml:space="preserve">Le marché : concurrence de banques spécialisées, fonds de crédit alternatif, BDC</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02  </w:t>
      </w:r>
      <w:r>
        <w:rPr>
          <w:rFonts w:ascii="Arial" w:cs="Arial" w:eastAsia="Arial" w:hAnsi="Arial"/>
          <w:b/>
          <w:bCs/>
          <w:color w:val="FFFFFF"/>
          <w:sz w:val="36"/>
          <w:szCs w:val="36"/>
        </w:rPr>
        <w:t xml:space="preserve">VARIABLES CLÉS INFLUENÇANT LA TARIFICATION</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2.1  Matrice des variables de tarification</w:t>
      </w:r>
    </w:p>
    <w:p>
      <w:pPr>
        <w:spacing w:after="80" w:before="80"/>
      </w:pPr>
      <w:r>
        <w:rPr>
          <w:rFonts w:ascii="Arial" w:cs="Arial" w:eastAsia="Arial" w:hAnsi="Arial"/>
          <w:color w:val="404040"/>
          <w:sz w:val="20"/>
          <w:szCs w:val="20"/>
        </w:rPr>
        <w:t xml:space="preserve">La tarification B2B est déterminée par l'interaction de trois familles de variables : variables de risque, variables de valeur, et variables de marché. Une banque mature modélise chacune analytiquement.</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2060"/>
        <w:gridCol w:w="1800"/>
      </w:tblGrid>
      <w:tr>
        <w:trPr>
          <w:tblHeader/>
        </w:trPr>
        <w:tc>
          <w:tcPr>
            <w:tcW w:type="dxa" w:w="1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Définition</w:t>
            </w:r>
          </w:p>
        </w:tc>
        <w:tc>
          <w:tcPr>
            <w:tcW w:type="dxa" w:w="17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sur le prix</w:t>
            </w:r>
          </w:p>
        </w:tc>
        <w:tc>
          <w:tcPr>
            <w:tcW w:type="dxa" w:w="20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 de données</w:t>
            </w:r>
          </w:p>
        </w:tc>
        <w:tc>
          <w:tcPr>
            <w:tcW w:type="dxa" w:w="1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Maturité analytique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de crédit (PD)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Probabilité de défaut sur 12 mois</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Spread crédit</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internes, bureau crédit</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 (réglementaire)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LGD (Loss Given Default)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Perte en cas de défaut (vs sûretés)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Spread crédit</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Données historiques recovery</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EAD (Exposure at Default)</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Exposition au moment du défaut</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Charge en capital</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CRM, données facilités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RAROC client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 ajusté / Capital économique</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KPI de go/no-go</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de profitabilité</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Moyenne–Élevée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 du capital (CoC)</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de rendement requis (15–18 %)</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Plancher de tarification</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Finance / Bâle III</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 de liquidité</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 de financement (FTP)</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Plancher dépôts/prêts</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ALM / Trésorerie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NIM net (Net Interest Margin)</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Marge nette d'intérêts</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Indicateur de rentabilité</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Finance / ALM</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Rentabilité globale client</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 total – Coûts alloués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Levier de négociation</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ABC/profitabilité</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Concurrence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Prix du marché pour produits comparables</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Borne supérieure prix</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Mystery shopping, intel</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Relation globale (WoW)</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Share of wallet Desjardins</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Discount relationnel</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CRM, portefeuille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Potentiel futur</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Croissance anticipée du client</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Ajustement stratégique</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prédictif</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Élasticité-prix</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Sensibilité au prix du client</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Discrimination tarifaire</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comportemental</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faible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Comportement transactionnel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Profondeur d'utilisation des produits</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Signal cross-sell</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transactionnelles</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Faible–Moyenne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Secteur NAICS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sectoriel, appétit produit</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Ajustement sectoriel</w:t>
            </w:r>
          </w:p>
        </w:tc>
        <w:tc>
          <w:tcPr>
            <w:tcW w:type="dxa" w:w="20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Classification interne</w:t>
            </w:r>
          </w:p>
        </w:tc>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Taille de l'entreprise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Revenus, actifs, employés</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Segmentation tarifaire</w:t>
            </w:r>
          </w:p>
        </w:tc>
        <w:tc>
          <w:tcPr>
            <w:tcW w:type="dxa" w:w="20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CRM, bureau crédit</w:t>
            </w:r>
          </w:p>
        </w:tc>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2.2  Le concept de Funds Transfer Pricing (FTP)</w:t>
      </w:r>
    </w:p>
    <w:p>
      <w:pPr>
        <w:spacing w:after="80" w:before="80"/>
      </w:pPr>
      <w:r>
        <w:rPr>
          <w:rFonts w:ascii="Arial" w:cs="Arial" w:eastAsia="Arial" w:hAnsi="Arial"/>
          <w:color w:val="404040"/>
          <w:sz w:val="20"/>
          <w:szCs w:val="20"/>
        </w:rPr>
        <w:t xml:space="preserve">Le FTP est le mécanisme interne qui isole la marge de crédit de la marge de taux. Chaque facilité se voit attribuer un taux de cession interne (TCI) calculé par la trésorerie en fonction de la durée et du profil de liquidité. Cela permet de mesurer la contribution nette de chaque unité d'affaires indépendamment des mouvements de taux directeurs.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 Opportunité Desjardins : Si le FTP n'est pas encore appliqué uniformément à la PVP Entreprises, son implantation constitue un quick win transformationnel qui améliore radicalement la qualité des décisions de tarification et la mesure de performance des directeurs de comptes.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2.3  Élasticité-prix : la variable la plus sous-exploitée</w:t>
      </w:r>
    </w:p>
    <w:p>
      <w:pPr>
        <w:spacing w:after="80" w:before="80"/>
      </w:pPr>
      <w:r>
        <w:rPr>
          <w:rFonts w:ascii="Arial" w:cs="Arial" w:eastAsia="Arial" w:hAnsi="Arial"/>
          <w:color w:val="404040"/>
          <w:sz w:val="20"/>
          <w:szCs w:val="20"/>
        </w:rPr>
        <w:t xml:space="preserve">L'élasticité-prix mesure la sensibilité d'un client aux variations de prix. En B2B bancaire, cette variable est rarement modélisée explicitement, bien qu'elle soit le levier le plus puissant pour optimiser les revenus sans perdre des clients.</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peu élastiques : relation longue durée, switching costs élevés, produits complexes, peu d'alternatives</w:t>
      </w:r>
    </w:p>
    <w:p>
      <w:pPr>
        <w:pStyle w:val="ListParagraph"/>
        <w:numPr>
          <w:ilvl w:val="0"/>
          <w:numId w:val="2"/>
        </w:numPr>
        <w:spacing w:after="60" w:before="60"/>
      </w:pPr>
      <w:r>
        <w:rPr>
          <w:rFonts w:ascii="Arial" w:cs="Arial" w:eastAsia="Arial" w:hAnsi="Arial"/>
          <w:b w:val="false"/>
          <w:bCs w:val="false"/>
          <w:color w:val="404040"/>
          <w:sz w:val="20"/>
          <w:szCs w:val="20"/>
        </w:rPr>
        <w:t xml:space="preserve">Clients très élastiques : relations récentes, produits standardisés, forte présence concurrentielle dans le secteur</w:t>
      </w:r>
    </w:p>
    <w:p>
      <w:pPr>
        <w:pStyle w:val="ListParagraph"/>
        <w:numPr>
          <w:ilvl w:val="0"/>
          <w:numId w:val="2"/>
        </w:numPr>
        <w:spacing w:after="60" w:before="60"/>
      </w:pPr>
      <w:r>
        <w:rPr>
          <w:rFonts w:ascii="Arial" w:cs="Arial" w:eastAsia="Arial" w:hAnsi="Arial"/>
          <w:b w:val="false"/>
          <w:bCs w:val="false"/>
          <w:color w:val="404040"/>
          <w:sz w:val="20"/>
          <w:szCs w:val="20"/>
        </w:rPr>
        <w:t xml:space="preserve">Signal d'élasticité faible : pas de demande de révision tarifaire depuis 2+ ans, sous-utilisation des alternatives concurrentes</w:t>
      </w:r>
    </w:p>
    <w:p>
      <w:pPr>
        <w:pStyle w:val="ListParagraph"/>
        <w:numPr>
          <w:ilvl w:val="0"/>
          <w:numId w:val="2"/>
        </w:numPr>
        <w:spacing w:after="60" w:before="60"/>
      </w:pPr>
      <w:r>
        <w:rPr>
          <w:rFonts w:ascii="Arial" w:cs="Arial" w:eastAsia="Arial" w:hAnsi="Arial"/>
          <w:b w:val="false"/>
          <w:bCs w:val="false"/>
          <w:color w:val="404040"/>
          <w:sz w:val="20"/>
          <w:szCs w:val="20"/>
        </w:rPr>
        <w:t xml:space="preserve">Signal d'élasticité élevée : historique de négociation, mentions concurrents en CRM, comportement multi-bancaire</w:t>
      </w:r>
    </w:p>
    <w:p>
      <w:pPr>
        <w:spacing w:after="80" w:before="80"/>
      </w:pPr>
      <w:r>
        <w:rPr>
          <w:rFonts w:ascii="Arial" w:cs="Arial" w:eastAsia="Arial" w:hAnsi="Arial"/>
          <w:color w:val="404040"/>
          <w:sz w:val="20"/>
          <w:szCs w:val="20"/>
        </w:rPr>
        <w:t xml:space="preserve">Un modèle d'élasticité segmentée permet de calibrer les offres et les concessions de manière beaucoup plus précise qu'une politique flat.</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03  </w:t>
      </w:r>
      <w:r>
        <w:rPr>
          <w:rFonts w:ascii="Arial" w:cs="Arial" w:eastAsia="Arial" w:hAnsi="Arial"/>
          <w:b/>
          <w:bCs/>
          <w:color w:val="FFFFFF"/>
          <w:sz w:val="36"/>
          <w:szCs w:val="36"/>
        </w:rPr>
        <w:t xml:space="preserve">CONCEPTS FONDAMENTAUX : RAROC, NIM, PRICING WATERFALL</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3.1  Le Pricing Waterfall</w:t>
      </w:r>
    </w:p>
    <w:p>
      <w:pPr>
        <w:spacing w:after="80" w:before="80"/>
      </w:pPr>
      <w:r>
        <w:rPr>
          <w:rFonts w:ascii="Arial" w:cs="Arial" w:eastAsia="Arial" w:hAnsi="Arial"/>
          <w:color w:val="404040"/>
          <w:sz w:val="20"/>
          <w:szCs w:val="20"/>
        </w:rPr>
        <w:t xml:space="preserve">Le pricing waterfall est la décomposition en couches successives du taux final, permettant de comprendre comment chaque composante contribue au rendement et à la rentabilité. C'est l'outil de gouvernance le plus puissant pour éviter les concessions non justifiées.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Étage du Waterfall</w:t>
            </w:r>
          </w:p>
        </w:tc>
        <w:tc>
          <w:tcPr>
            <w:tcW w:type="dxa" w:w="26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w:t>
            </w:r>
          </w:p>
        </w:tc>
        <w:tc>
          <w:tcPr>
            <w:tcW w:type="dxa" w:w="268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Exemple (pb)</w:t>
            </w:r>
          </w:p>
        </w:tc>
      </w:tr>
      <w:tr>
        <w:tc>
          <w:tcPr>
            <w:tcW w:type="dxa" w:w="40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① Taux plancher technique</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8"/>
                <w:szCs w:val="18"/>
              </w:rPr>
              <w:t xml:space="preserve">Coût de financement (FTP)</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8"/>
                <w:szCs w:val="18"/>
              </w:rPr>
              <w:t xml:space="preserve">150 pb</w:t>
            </w:r>
          </w:p>
        </w:tc>
      </w:tr>
      <w:tr>
        <w:tc>
          <w:tcPr>
            <w:tcW w:type="dxa" w:w="40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② + Coût du risque</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8"/>
                <w:szCs w:val="18"/>
              </w:rPr>
              <w:t xml:space="preserve">Expected Loss (PD × LGD × EAD)</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8"/>
                <w:szCs w:val="18"/>
              </w:rPr>
              <w:t xml:space="preserve">+ 80 pb</w:t>
            </w:r>
          </w:p>
        </w:tc>
      </w:tr>
      <w:tr>
        <w:tc>
          <w:tcPr>
            <w:tcW w:type="dxa" w:w="40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③ + Charge en capital</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color w:val="404040"/>
                <w:sz w:val="18"/>
                <w:szCs w:val="18"/>
              </w:rPr>
              <w:t xml:space="preserve">RWA × CoC (15–18 %)</w:t>
            </w:r>
          </w:p>
        </w:tc>
        <w:tc>
          <w:tcPr>
            <w:tcW w:type="dxa" w:w="268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pPr>
              <w:jc w:val="center"/>
            </w:pPr>
            <w:r>
              <w:rPr>
                <w:rFonts w:ascii="Arial" w:cs="Arial" w:eastAsia="Arial" w:hAnsi="Arial"/>
                <w:b/>
                <w:bCs/>
                <w:color w:val="004D33"/>
                <w:sz w:val="18"/>
                <w:szCs w:val="18"/>
              </w:rPr>
              <w:t xml:space="preserve">+ 60 pb</w:t>
            </w:r>
          </w:p>
        </w:tc>
      </w:tr>
      <w:tr>
        <w:tc>
          <w:tcPr>
            <w:tcW w:type="dxa" w:w="4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④ = Taux de rentabilité minimal</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color w:val="404040"/>
                <w:sz w:val="18"/>
                <w:szCs w:val="18"/>
              </w:rPr>
              <w:t xml:space="preserve">Break-even RAROC = CoC</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pPr>
              <w:jc w:val="center"/>
            </w:pPr>
            <w:r>
              <w:rPr>
                <w:rFonts w:ascii="Arial" w:cs="Arial" w:eastAsia="Arial" w:hAnsi="Arial"/>
                <w:b/>
                <w:bCs/>
                <w:color w:val="1B4F8A"/>
                <w:sz w:val="18"/>
                <w:szCs w:val="18"/>
              </w:rPr>
              <w:t xml:space="preserve">290 pb</w:t>
            </w:r>
          </w:p>
        </w:tc>
      </w:tr>
      <w:tr>
        <w:tc>
          <w:tcPr>
            <w:tcW w:type="dxa" w:w="4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⑤ + Marge d'exploitation</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color w:val="404040"/>
                <w:sz w:val="18"/>
                <w:szCs w:val="18"/>
              </w:rPr>
              <w:t xml:space="preserve">Frais admin, origination</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pPr>
              <w:jc w:val="center"/>
            </w:pPr>
            <w:r>
              <w:rPr>
                <w:rFonts w:ascii="Arial" w:cs="Arial" w:eastAsia="Arial" w:hAnsi="Arial"/>
                <w:b/>
                <w:bCs/>
                <w:color w:val="1B4F8A"/>
                <w:sz w:val="18"/>
                <w:szCs w:val="18"/>
              </w:rPr>
              <w:t xml:space="preserve">+ 25 pb</w:t>
            </w:r>
          </w:p>
        </w:tc>
      </w:tr>
      <w:tr>
        <w:tc>
          <w:tcPr>
            <w:tcW w:type="dxa" w:w="4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⑥ + Prime de marché</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color w:val="404040"/>
                <w:sz w:val="18"/>
                <w:szCs w:val="18"/>
              </w:rPr>
              <w:t xml:space="preserve">Positionnement concurrentiel</w:t>
            </w:r>
          </w:p>
        </w:tc>
        <w:tc>
          <w:tcPr>
            <w:tcW w:type="dxa" w:w="26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pPr>
              <w:jc w:val="center"/>
            </w:pPr>
            <w:r>
              <w:rPr>
                <w:rFonts w:ascii="Arial" w:cs="Arial" w:eastAsia="Arial" w:hAnsi="Arial"/>
                <w:b/>
                <w:bCs/>
                <w:color w:val="1B4F8A"/>
                <w:sz w:val="18"/>
                <w:szCs w:val="18"/>
              </w:rPr>
              <w:t xml:space="preserve">+ 30 pb</w:t>
            </w:r>
          </w:p>
        </w:tc>
      </w:tr>
      <w:tr>
        <w:tc>
          <w:tcPr>
            <w:tcW w:type="dxa" w:w="40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⑦ = Taux proposé (rack rate)</w:t>
            </w:r>
          </w:p>
        </w:tc>
        <w:tc>
          <w:tcPr>
            <w:tcW w:type="dxa" w:w="26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color w:val="404040"/>
                <w:sz w:val="18"/>
                <w:szCs w:val="18"/>
              </w:rPr>
              <w:t xml:space="preserve">Taux d'offre initial</w:t>
            </w:r>
          </w:p>
        </w:tc>
        <w:tc>
          <w:tcPr>
            <w:tcW w:type="dxa" w:w="268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pPr>
              <w:jc w:val="center"/>
            </w:pPr>
            <w:r>
              <w:rPr>
                <w:rFonts w:ascii="Arial" w:cs="Arial" w:eastAsia="Arial" w:hAnsi="Arial"/>
                <w:b/>
                <w:bCs/>
                <w:color w:val="8B6914"/>
                <w:sz w:val="18"/>
                <w:szCs w:val="18"/>
              </w:rPr>
              <w:t xml:space="preserve">345 pb</w:t>
            </w:r>
          </w:p>
        </w:tc>
      </w:tr>
      <w:tr>
        <w:tc>
          <w:tcPr>
            <w:tcW w:type="dxa" w:w="4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⑧ − Discount relationnel</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color w:val="404040"/>
                <w:sz w:val="18"/>
                <w:szCs w:val="18"/>
              </w:rPr>
              <w:t xml:space="preserve">Ajustement portefeuille global</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− 25 pb</w:t>
            </w:r>
          </w:p>
        </w:tc>
      </w:tr>
      <w:tr>
        <w:tc>
          <w:tcPr>
            <w:tcW w:type="dxa" w:w="40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⑨ − Concession négociation</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color w:val="404040"/>
                <w:sz w:val="18"/>
                <w:szCs w:val="18"/>
              </w:rPr>
              <w:t xml:space="preserve">Pouvoir discrétionnaire directeur</w:t>
            </w:r>
          </w:p>
        </w:tc>
        <w:tc>
          <w:tcPr>
            <w:tcW w:type="dxa" w:w="268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pPr>
              <w:jc w:val="center"/>
            </w:pPr>
            <w:r>
              <w:rPr>
                <w:rFonts w:ascii="Arial" w:cs="Arial" w:eastAsia="Arial" w:hAnsi="Arial"/>
                <w:b/>
                <w:bCs/>
                <w:color w:val="C55A11"/>
                <w:sz w:val="18"/>
                <w:szCs w:val="18"/>
              </w:rPr>
              <w:t xml:space="preserve">− 15 pb</w:t>
            </w:r>
          </w:p>
        </w:tc>
      </w:tr>
      <w:tr>
        <w:tc>
          <w:tcPr>
            <w:tcW w:type="dxa" w:w="40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⑩ = Taux final signé</w:t>
            </w:r>
          </w:p>
        </w:tc>
        <w:tc>
          <w:tcPr>
            <w:tcW w:type="dxa" w:w="268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color w:val="404040"/>
                <w:sz w:val="18"/>
                <w:szCs w:val="18"/>
              </w:rPr>
              <w:t xml:space="preserve">Taux effectif client</w:t>
            </w:r>
          </w:p>
        </w:tc>
        <w:tc>
          <w:tcPr>
            <w:tcW w:type="dxa" w:w="268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305 pb</w:t>
            </w:r>
          </w:p>
        </w:tc>
      </w:tr>
      <w:tr>
        <w:tc>
          <w:tcPr>
            <w:tcW w:type="dxa" w:w="400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r>
              <w:rPr>
                <w:rFonts w:ascii="Arial" w:cs="Arial" w:eastAsia="Arial" w:hAnsi="Arial"/>
                <w:b/>
                <w:bCs/>
                <w:color w:val="404040"/>
                <w:sz w:val="18"/>
                <w:szCs w:val="18"/>
              </w:rPr>
              <w:t xml:space="preserve">⑪ RAROC réalisé</w:t>
            </w:r>
          </w:p>
        </w:tc>
        <w:tc>
          <w:tcPr>
            <w:tcW w:type="dxa" w:w="268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r>
              <w:rPr>
                <w:rFonts w:ascii="Arial" w:cs="Arial" w:eastAsia="Arial" w:hAnsi="Arial"/>
                <w:color w:val="404040"/>
                <w:sz w:val="18"/>
                <w:szCs w:val="18"/>
              </w:rPr>
              <w:t xml:space="preserve">Vs cible 15–18 % : acceptable si &gt; CoC</w:t>
            </w:r>
          </w:p>
        </w:tc>
        <w:tc>
          <w:tcPr>
            <w:tcW w:type="dxa" w:w="2680"/>
            <w:tcBorders>
              <w:top w:val="single" w:color="D9D9D9" w:sz="4"/>
              <w:left w:val="single" w:color="D9D9D9" w:sz="4"/>
              <w:bottom w:val="single" w:color="D9D9D9" w:sz="4"/>
              <w:right w:val="single" w:color="D9D9D9" w:sz="4"/>
            </w:tcBorders>
            <w:shd w:fill="D9D9D9" w:val="clear"/>
            <w:tcMar>
              <w:top w:type="dxa" w:w="80"/>
              <w:left w:type="dxa" w:w="120"/>
              <w:bottom w:type="dxa" w:w="80"/>
              <w:right w:type="dxa" w:w="120"/>
            </w:tcMar>
          </w:tcPr>
          <w:p>
            <w:pPr>
              <w:jc w:val="center"/>
            </w:pPr>
            <w:r>
              <w:rPr>
                <w:rFonts w:ascii="Arial" w:cs="Arial" w:eastAsia="Arial" w:hAnsi="Arial"/>
                <w:b/>
                <w:bCs/>
                <w:color w:val="404040"/>
                <w:sz w:val="18"/>
                <w:szCs w:val="18"/>
              </w:rPr>
              <w:t xml:space="preserve">~14 %</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3.2  RAROC — Risk-Adjusted Return on Capital</w:t>
      </w:r>
    </w:p>
    <w:p>
      <w:pPr>
        <w:spacing w:after="80" w:before="80"/>
      </w:pPr>
      <w:r>
        <w:rPr>
          <w:rFonts w:ascii="Arial" w:cs="Arial" w:eastAsia="Arial" w:hAnsi="Arial"/>
          <w:color w:val="404040"/>
          <w:sz w:val="20"/>
          <w:szCs w:val="20"/>
        </w:rPr>
        <w:t xml:space="preserve">Le RAROC est le KPI central de la tarification bancaire ajustée au risque. Il mesure le rendement économique réel d'une transaction en tenant compte du capital requis pour absorber les pertes inattendues.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RAROC = (Revenu net – Coût du risque – Coûts d'exploitation) / Capital économique requis
Seuil minimal acceptable = Coût du capital (Cost of Equity, typiquement 12–18 % pour une banque canadienne)</w:t>
            </w:r>
          </w:p>
        </w:tc>
      </w:tr>
    </w:tbl>
    <w:p>
      <w:pPr>
        <w:spacing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rPr>
          <w:tblHeader/>
        </w:trPr>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 RAROC</w:t>
            </w:r>
          </w:p>
        </w:tc>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Définition</w:t>
            </w:r>
          </w:p>
        </w:tc>
        <w:tc>
          <w:tcPr>
            <w:tcW w:type="dxa" w:w="21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Source de calcul</w:t>
            </w:r>
          </w:p>
        </w:tc>
        <w:tc>
          <w:tcPr>
            <w:tcW w:type="dxa" w:w="2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Difficulté d'allocation</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Revenu net d'intérêts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client – FTP</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Système ALM</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Commissions et frais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Revenus non-intérêts</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Comptabilité produit</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Faible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Coût du risque (EL)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PD × LGD × EAD annualisé</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de crédit</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Coûts opérationnels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Portion allouée au client</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ABC (Activity-Based Costing)</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Capital économique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Capital pour pertes inattendues (UL)</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capital interne</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Élevée</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Revenu cross-sell</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Contribution des produits liés</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de profitabilité</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élevée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3.3  Net Interest Margin (NIM)</w:t>
      </w:r>
    </w:p>
    <w:p>
      <w:pPr>
        <w:spacing w:after="80" w:before="80"/>
      </w:pPr>
      <w:r>
        <w:rPr>
          <w:rFonts w:ascii="Arial" w:cs="Arial" w:eastAsia="Arial" w:hAnsi="Arial"/>
          <w:color w:val="404040"/>
          <w:sz w:val="20"/>
          <w:szCs w:val="20"/>
        </w:rPr>
        <w:t xml:space="preserve">La NIM mesure la différence entre le rendement moyen des actifs portant intérêt et le coût moyen des passifs portant intérêt, exprimée en pourcentage des actifs moyens. C'est le baromètre de la santé du bilan d'une banque.</w:t>
      </w:r>
    </w:p>
    <w:p>
      <w:pPr>
        <w:pStyle w:val="ListParagraph"/>
        <w:numPr>
          <w:ilvl w:val="0"/>
          <w:numId w:val="2"/>
        </w:numPr>
        <w:spacing w:after="60" w:before="60"/>
      </w:pPr>
      <w:r>
        <w:rPr>
          <w:rFonts w:ascii="Arial" w:cs="Arial" w:eastAsia="Arial" w:hAnsi="Arial"/>
          <w:b w:val="false"/>
          <w:bCs w:val="false"/>
          <w:color w:val="404040"/>
          <w:sz w:val="20"/>
          <w:szCs w:val="20"/>
        </w:rPr>
        <w:t xml:space="preserve">NIM = (Intérêts perçus − Intérêts payés) / Actifs productifs moyens</w:t>
      </w:r>
    </w:p>
    <w:p>
      <w:pPr>
        <w:pStyle w:val="ListParagraph"/>
        <w:numPr>
          <w:ilvl w:val="0"/>
          <w:numId w:val="2"/>
        </w:numPr>
        <w:spacing w:after="60" w:before="60"/>
      </w:pPr>
      <w:r>
        <w:rPr>
          <w:rFonts w:ascii="Arial" w:cs="Arial" w:eastAsia="Arial" w:hAnsi="Arial"/>
          <w:b w:val="false"/>
          <w:bCs w:val="false"/>
          <w:color w:val="404040"/>
          <w:sz w:val="20"/>
          <w:szCs w:val="20"/>
        </w:rPr>
        <w:t xml:space="preserve">NIM typique grande banque canadienne : 1,6 % à 2,2 % (portefeuille total)</w:t>
      </w:r>
    </w:p>
    <w:p>
      <w:pPr>
        <w:pStyle w:val="ListParagraph"/>
        <w:numPr>
          <w:ilvl w:val="0"/>
          <w:numId w:val="2"/>
        </w:numPr>
        <w:spacing w:after="60" w:before="60"/>
      </w:pPr>
      <w:r>
        <w:rPr>
          <w:rFonts w:ascii="Arial" w:cs="Arial" w:eastAsia="Arial" w:hAnsi="Arial"/>
          <w:b w:val="false"/>
          <w:bCs w:val="false"/>
          <w:color w:val="404040"/>
          <w:sz w:val="20"/>
          <w:szCs w:val="20"/>
        </w:rPr>
        <w:t xml:space="preserve">NIM portefeuille commercial : généralement supérieur au retail (primes de risque et de complexité)</w:t>
      </w:r>
    </w:p>
    <w:p>
      <w:pPr>
        <w:pStyle w:val="ListParagraph"/>
        <w:numPr>
          <w:ilvl w:val="0"/>
          <w:numId w:val="2"/>
        </w:numPr>
        <w:spacing w:after="60" w:before="60"/>
      </w:pPr>
      <w:r>
        <w:rPr>
          <w:rFonts w:ascii="Arial" w:cs="Arial" w:eastAsia="Arial" w:hAnsi="Arial"/>
          <w:b w:val="false"/>
          <w:bCs w:val="false"/>
          <w:color w:val="404040"/>
          <w:sz w:val="20"/>
          <w:szCs w:val="20"/>
        </w:rPr>
        <w:t xml:space="preserve">Pression sur la NIM : concurrence fintechs, taux bas prolongés, coût de conformité Bâle IV</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3.4  Risk-Based Pricing</w:t>
      </w:r>
    </w:p>
    <w:p>
      <w:pPr>
        <w:spacing w:after="80" w:before="80"/>
      </w:pPr>
      <w:r>
        <w:rPr>
          <w:rFonts w:ascii="Arial" w:cs="Arial" w:eastAsia="Arial" w:hAnsi="Arial"/>
          <w:color w:val="404040"/>
          <w:sz w:val="20"/>
          <w:szCs w:val="20"/>
        </w:rPr>
        <w:t xml:space="preserve">Le risk-based pricing est le principe selon lequel chaque client se voit offrir un taux directement proportionnel à son profil de risque individuel (et non un taux standardisé par segment). C'est la pratique dominante des banques canadiennes matures pour le crédit commercial.</w:t>
      </w:r>
    </w:p>
    <w:p>
      <w:pPr>
        <w:pStyle w:val="ListParagraph"/>
        <w:numPr>
          <w:ilvl w:val="0"/>
          <w:numId w:val="2"/>
        </w:numPr>
        <w:spacing w:after="60" w:before="60"/>
      </w:pPr>
      <w:r>
        <w:rPr>
          <w:rFonts w:ascii="Arial" w:cs="Arial" w:eastAsia="Arial" w:hAnsi="Arial"/>
          <w:b w:val="false"/>
          <w:bCs w:val="false"/>
          <w:color w:val="404040"/>
          <w:sz w:val="20"/>
          <w:szCs w:val="20"/>
        </w:rPr>
        <w:t xml:space="preserve">Avantage : améliore l'anti-sélection (adverse selection), améliore la rentabilité du portefeuille</w:t>
      </w:r>
    </w:p>
    <w:p>
      <w:pPr>
        <w:pStyle w:val="ListParagraph"/>
        <w:numPr>
          <w:ilvl w:val="0"/>
          <w:numId w:val="2"/>
        </w:numPr>
        <w:spacing w:after="60" w:before="60"/>
      </w:pPr>
      <w:r>
        <w:rPr>
          <w:rFonts w:ascii="Arial" w:cs="Arial" w:eastAsia="Arial" w:hAnsi="Arial"/>
          <w:b w:val="false"/>
          <w:bCs w:val="false"/>
          <w:color w:val="404040"/>
          <w:sz w:val="20"/>
          <w:szCs w:val="20"/>
        </w:rPr>
        <w:t xml:space="preserve">Limite : nécessite des modèles de risque très précis et une gouvernance robuste</w:t>
      </w:r>
    </w:p>
    <w:p>
      <w:pPr>
        <w:pStyle w:val="ListParagraph"/>
        <w:numPr>
          <w:ilvl w:val="0"/>
          <w:numId w:val="2"/>
        </w:numPr>
        <w:spacing w:after="60" w:before="60"/>
      </w:pPr>
      <w:r>
        <w:rPr>
          <w:rFonts w:ascii="Arial" w:cs="Arial" w:eastAsia="Arial" w:hAnsi="Arial"/>
          <w:b w:val="false"/>
          <w:bCs w:val="false"/>
          <w:color w:val="404040"/>
          <w:sz w:val="20"/>
          <w:szCs w:val="20"/>
        </w:rPr>
        <w:t xml:space="preserve">Risque réglementaire : doit éviter toute discrimination prohibée (Loi canadienne sur les droits de la personne)</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3.5  Relationship Pricing</w:t>
      </w:r>
    </w:p>
    <w:p>
      <w:pPr>
        <w:spacing w:after="80" w:before="80"/>
      </w:pPr>
      <w:r>
        <w:rPr>
          <w:rFonts w:ascii="Arial" w:cs="Arial" w:eastAsia="Arial" w:hAnsi="Arial"/>
          <w:color w:val="404040"/>
          <w:sz w:val="20"/>
          <w:szCs w:val="20"/>
        </w:rPr>
        <w:t xml:space="preserve">Le relationship pricing reconnaît la valeur totale de la relation client au-delà d'une transaction unique. Une entreprise générant 500 000 $ de revenus annuels croisés (crédit + dépôts + FX + cartes + paie) peut justifier une concession tarifaire sur son taux de crédit qui serait inacceptable en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Framework de décision : Un directeur de comptes devrait avoir accès en temps réel à la profitabilité globale du client (RAROC consolidé) AVANT d'accorder une concession. Sans cet outil, les concessions sont prises à l'aveugle.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3.6  Tarification dynamique</w:t>
      </w:r>
    </w:p>
    <w:p>
      <w:pPr>
        <w:spacing w:after="80" w:before="80"/>
      </w:pPr>
      <w:r>
        <w:rPr>
          <w:rFonts w:ascii="Arial" w:cs="Arial" w:eastAsia="Arial" w:hAnsi="Arial"/>
          <w:color w:val="404040"/>
          <w:sz w:val="20"/>
          <w:szCs w:val="20"/>
        </w:rPr>
        <w:t xml:space="preserve">La tarification dynamique adapte les prix en temps réel ou quasi-réel en fonction de signaux de marché, de comportement client, et d'opportunités commerciales. En B2B bancaire, elle s'applique principalement à :</w:t>
      </w:r>
    </w:p>
    <w:p>
      <w:pPr>
        <w:pStyle w:val="ListParagraph"/>
        <w:numPr>
          <w:ilvl w:val="0"/>
          <w:numId w:val="2"/>
        </w:numPr>
        <w:spacing w:after="60" w:before="60"/>
      </w:pPr>
      <w:r>
        <w:rPr>
          <w:rFonts w:ascii="Arial" w:cs="Arial" w:eastAsia="Arial" w:hAnsi="Arial"/>
          <w:b w:val="false"/>
          <w:bCs w:val="false"/>
          <w:color w:val="404040"/>
          <w:sz w:val="20"/>
          <w:szCs w:val="20"/>
        </w:rPr>
        <w:t xml:space="preserve">FX spot : spread ajusté selon volume, fréquence, urgence</w:t>
      </w:r>
    </w:p>
    <w:p>
      <w:pPr>
        <w:pStyle w:val="ListParagraph"/>
        <w:numPr>
          <w:ilvl w:val="0"/>
          <w:numId w:val="2"/>
        </w:numPr>
        <w:spacing w:after="60" w:before="60"/>
      </w:pPr>
      <w:r>
        <w:rPr>
          <w:rFonts w:ascii="Arial" w:cs="Arial" w:eastAsia="Arial" w:hAnsi="Arial"/>
          <w:b w:val="false"/>
          <w:bCs w:val="false"/>
          <w:color w:val="404040"/>
          <w:sz w:val="20"/>
          <w:szCs w:val="20"/>
        </w:rPr>
        <w:t xml:space="preserve">Renouvellements de crédit : ajustement à la maturité selon évolution du risque</w:t>
      </w:r>
    </w:p>
    <w:p>
      <w:pPr>
        <w:pStyle w:val="ListParagraph"/>
        <w:numPr>
          <w:ilvl w:val="0"/>
          <w:numId w:val="2"/>
        </w:numPr>
        <w:spacing w:after="60" w:before="60"/>
      </w:pPr>
      <w:r>
        <w:rPr>
          <w:rFonts w:ascii="Arial" w:cs="Arial" w:eastAsia="Arial" w:hAnsi="Arial"/>
          <w:b w:val="false"/>
          <w:bCs w:val="false"/>
          <w:color w:val="404040"/>
          <w:sz w:val="20"/>
          <w:szCs w:val="20"/>
        </w:rPr>
        <w:t xml:space="preserve">Campagnes de rétention : offres personnalisées déclenchées par signaux comportementaux</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3.7  Pricing Governance</w:t>
      </w:r>
    </w:p>
    <w:p>
      <w:pPr>
        <w:spacing w:after="80" w:before="80"/>
      </w:pPr>
      <w:r>
        <w:rPr>
          <w:rFonts w:ascii="Arial" w:cs="Arial" w:eastAsia="Arial" w:hAnsi="Arial"/>
          <w:color w:val="404040"/>
          <w:sz w:val="20"/>
          <w:szCs w:val="20"/>
        </w:rPr>
        <w:t xml:space="preserve">La gouvernance du pricing définit qui peut autoriser quel niveau de concession, dans quelles conditions, avec quelle justification documentée. Une bonne gouvernance comprend :</w:t>
      </w:r>
    </w:p>
    <w:p>
      <w:pPr>
        <w:pStyle w:val="ListParagraph"/>
        <w:numPr>
          <w:ilvl w:val="0"/>
          <w:numId w:val="2"/>
        </w:numPr>
        <w:spacing w:after="60" w:before="60"/>
      </w:pPr>
      <w:r>
        <w:rPr>
          <w:rFonts w:ascii="Arial" w:cs="Arial" w:eastAsia="Arial" w:hAnsi="Arial"/>
          <w:b w:val="false"/>
          <w:bCs w:val="false"/>
          <w:color w:val="404040"/>
          <w:sz w:val="20"/>
          <w:szCs w:val="20"/>
        </w:rPr>
        <w:t xml:space="preserve">Matrice d'autorisation : seuils de concession par niveau hiérarchique (directeur → gestionnaire → comité)</w:t>
      </w:r>
    </w:p>
    <w:p>
      <w:pPr>
        <w:pStyle w:val="ListParagraph"/>
        <w:numPr>
          <w:ilvl w:val="0"/>
          <w:numId w:val="2"/>
        </w:numPr>
        <w:spacing w:after="60" w:before="60"/>
      </w:pPr>
      <w:r>
        <w:rPr>
          <w:rFonts w:ascii="Arial" w:cs="Arial" w:eastAsia="Arial" w:hAnsi="Arial"/>
          <w:b w:val="false"/>
          <w:bCs w:val="false"/>
          <w:color w:val="404040"/>
          <w:sz w:val="20"/>
          <w:szCs w:val="20"/>
        </w:rPr>
        <w:t xml:space="preserve">Plancher de RAROC : aucune transaction ne peut être signée sous le seuil de CoC</w:t>
      </w:r>
    </w:p>
    <w:p>
      <w:pPr>
        <w:pStyle w:val="ListParagraph"/>
        <w:numPr>
          <w:ilvl w:val="0"/>
          <w:numId w:val="2"/>
        </w:numPr>
        <w:spacing w:after="60" w:before="60"/>
      </w:pPr>
      <w:r>
        <w:rPr>
          <w:rFonts w:ascii="Arial" w:cs="Arial" w:eastAsia="Arial" w:hAnsi="Arial"/>
          <w:b w:val="false"/>
          <w:bCs w:val="false"/>
          <w:color w:val="404040"/>
          <w:sz w:val="20"/>
          <w:szCs w:val="20"/>
        </w:rPr>
        <w:t xml:space="preserve">Audit trail : chaque concession est documentée avec la justification client</w:t>
      </w:r>
    </w:p>
    <w:p>
      <w:pPr>
        <w:pStyle w:val="ListParagraph"/>
        <w:numPr>
          <w:ilvl w:val="0"/>
          <w:numId w:val="2"/>
        </w:numPr>
        <w:spacing w:after="60" w:before="60"/>
      </w:pPr>
      <w:r>
        <w:rPr>
          <w:rFonts w:ascii="Arial" w:cs="Arial" w:eastAsia="Arial" w:hAnsi="Arial"/>
          <w:b w:val="false"/>
          <w:bCs w:val="false"/>
          <w:color w:val="404040"/>
          <w:sz w:val="20"/>
          <w:szCs w:val="20"/>
        </w:rPr>
        <w:t xml:space="preserve">Comité de pricing : revue périodique des tendances de concessions et ajustement des politiques</w:t>
      </w:r>
    </w:p>
    <w:p>
      <w:pPr>
        <w:pStyle w:val="ListParagraph"/>
        <w:numPr>
          <w:ilvl w:val="0"/>
          <w:numId w:val="2"/>
        </w:numPr>
        <w:spacing w:after="60" w:before="60"/>
      </w:pPr>
      <w:r>
        <w:rPr>
          <w:rFonts w:ascii="Arial" w:cs="Arial" w:eastAsia="Arial" w:hAnsi="Arial"/>
          <w:b w:val="false"/>
          <w:bCs w:val="false"/>
          <w:color w:val="404040"/>
          <w:sz w:val="20"/>
          <w:szCs w:val="20"/>
        </w:rPr>
        <w:t xml:space="preserve">Reporting : tableau de bord des prix moyens vs rack rates, taux de concession par région/secteur</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04  </w:t>
      </w:r>
      <w:r>
        <w:rPr>
          <w:rFonts w:ascii="Arial" w:cs="Arial" w:eastAsia="Arial" w:hAnsi="Arial"/>
          <w:b/>
          <w:bCs/>
          <w:color w:val="FFFFFF"/>
          <w:sz w:val="36"/>
          <w:szCs w:val="36"/>
        </w:rPr>
        <w:t xml:space="preserve">IA &amp; ANALYTIQUE AVANCÉE AU SERVICE DU PRICING</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4.1  Machine Learning pour la tarification</w:t>
      </w:r>
    </w:p>
    <w:p>
      <w:pPr>
        <w:spacing w:after="80" w:before="80"/>
      </w:pPr>
      <w:r>
        <w:rPr>
          <w:rFonts w:ascii="Arial" w:cs="Arial" w:eastAsia="Arial" w:hAnsi="Arial"/>
          <w:color w:val="404040"/>
          <w:sz w:val="20"/>
          <w:szCs w:val="20"/>
        </w:rPr>
        <w:t xml:space="preserve">Le machine learning transforme la tarification bancaire en remplaçant des modèles linéaires simplistes par des représentations non-linéaires capturant les interactions complexes entre variables de risque, de valeur et de marché.</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200"/>
        <w:gridCol w:w="2260"/>
      </w:tblGrid>
      <w:tr>
        <w:trPr>
          <w:tblHeader/>
        </w:trPr>
        <w:tc>
          <w:tcPr>
            <w:tcW w:type="dxa" w:w="25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Algorithme ML</w:t>
            </w:r>
          </w:p>
        </w:tc>
        <w:tc>
          <w:tcPr>
            <w:tcW w:type="dxa" w:w="24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Application pricing</w:t>
            </w:r>
          </w:p>
        </w:tc>
        <w:tc>
          <w:tcPr>
            <w:tcW w:type="dxa" w:w="2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Avantages</w:t>
            </w:r>
          </w:p>
        </w:tc>
        <w:tc>
          <w:tcPr>
            <w:tcW w:type="dxa" w:w="22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Limites / Précautions</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Gradient Boosting (XGBoost, LightGBM)</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Scoring de risque, propension client, élasticité-prix</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Précision élevée, gestion des variables manquantes</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Interprétabilité limitée (→ SHAP requis)</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Random Forest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Segmentation, détection d'anomalies tarifaires</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Robuste, peu de paramétrage</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Moins précis que GBM, lent sur grands volumes</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Régression logistique pénalisée (LASSO)</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de base risque-réglementaires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Interprétable, validable par régulateurs</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Capture mal les non-linéarités</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Réseaux de neurones (MLP, Transformers)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Modèles complexes multi-produits, NLP transactions</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 maximale sur données riches</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Boîte noire, coût de validation réglementaire</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K-Means / DBSCAN (clustering)</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Micro-segmentation clients pour tarification groupée</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Découverte de segments non intuitifs</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Interprétation des clusters requiert expertise métier</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Isolation Forest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de sous-tarification anormale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d'outliers sans supervision</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Taux de faux positifs à calibrer</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Survival Analysis (Cox, AFT)</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Durée avant attrition, durée avant défaut</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Modélise l'aspect temporel du risque</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Moins familier des équipes data traditionnelles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4.2  IA Générative au service du pricing commercial</w:t>
      </w:r>
    </w:p>
    <w:p>
      <w:pPr>
        <w:spacing w:after="80" w:before="80"/>
      </w:pPr>
      <w:r>
        <w:rPr>
          <w:rFonts w:ascii="Arial" w:cs="Arial" w:eastAsia="Arial" w:hAnsi="Arial"/>
          <w:color w:val="404040"/>
          <w:sz w:val="20"/>
          <w:szCs w:val="20"/>
        </w:rPr>
        <w:t xml:space="preserve">L'IA générative (LLMs de type Claude ou GPT-4) ouvre des cas d'usage inédits dans la tarification bancaire B2B, notamment dans l'interface entre les données analytiques et les directeurs de comptes.</w:t>
      </w:r>
    </w:p>
    <w:p>
      <w:pPr>
        <w:pStyle w:val="ListParagraph"/>
        <w:numPr>
          <w:ilvl w:val="0"/>
          <w:numId w:val="2"/>
        </w:numPr>
        <w:spacing w:after="60" w:before="60"/>
      </w:pPr>
      <w:r>
        <w:rPr>
          <w:rFonts w:ascii="Arial" w:cs="Arial" w:eastAsia="Arial" w:hAnsi="Arial"/>
          <w:b w:val="false"/>
          <w:bCs w:val="false"/>
          <w:color w:val="404040"/>
          <w:sz w:val="20"/>
          <w:szCs w:val="20"/>
        </w:rPr>
        <w:t xml:space="preserve">Copilote de négociation commerciale : génère des arguments de valeur, anticipe les objections, suggère des contre-offres basées sur la profitabilité client</w:t>
      </w:r>
    </w:p>
    <w:p>
      <w:pPr>
        <w:pStyle w:val="ListParagraph"/>
        <w:numPr>
          <w:ilvl w:val="0"/>
          <w:numId w:val="2"/>
        </w:numPr>
        <w:spacing w:after="60" w:before="60"/>
      </w:pPr>
      <w:r>
        <w:rPr>
          <w:rFonts w:ascii="Arial" w:cs="Arial" w:eastAsia="Arial" w:hAnsi="Arial"/>
          <w:b w:val="false"/>
          <w:bCs w:val="false"/>
          <w:color w:val="404040"/>
          <w:sz w:val="20"/>
          <w:szCs w:val="20"/>
        </w:rPr>
        <w:t xml:space="preserve">Synthèse de profil client : résumé narratif du profil tarifaire, historique de concessions, et risques en langage naturel</w:t>
      </w:r>
    </w:p>
    <w:p>
      <w:pPr>
        <w:pStyle w:val="ListParagraph"/>
        <w:numPr>
          <w:ilvl w:val="0"/>
          <w:numId w:val="2"/>
        </w:numPr>
        <w:spacing w:after="60" w:before="60"/>
      </w:pPr>
      <w:r>
        <w:rPr>
          <w:rFonts w:ascii="Arial" w:cs="Arial" w:eastAsia="Arial" w:hAnsi="Arial"/>
          <w:b w:val="false"/>
          <w:bCs w:val="false"/>
          <w:color w:val="404040"/>
          <w:sz w:val="20"/>
          <w:szCs w:val="20"/>
        </w:rPr>
        <w:t xml:space="preserve">Rédaction d'offres personnalisées : génération de propositions commerciales adaptées au secteur et à la relation</w:t>
      </w:r>
    </w:p>
    <w:p>
      <w:pPr>
        <w:pStyle w:val="ListParagraph"/>
        <w:numPr>
          <w:ilvl w:val="0"/>
          <w:numId w:val="2"/>
        </w:numPr>
        <w:spacing w:after="60" w:before="60"/>
      </w:pPr>
      <w:r>
        <w:rPr>
          <w:rFonts w:ascii="Arial" w:cs="Arial" w:eastAsia="Arial" w:hAnsi="Arial"/>
          <w:b w:val="false"/>
          <w:bCs w:val="false"/>
          <w:color w:val="404040"/>
          <w:sz w:val="20"/>
          <w:szCs w:val="20"/>
        </w:rPr>
        <w:t xml:space="preserve">Analyse de notes CRM : extraction de signaux concurrentiels et tarifaires dans les notes libres des conseillers</w:t>
      </w:r>
    </w:p>
    <w:p>
      <w:pPr>
        <w:pStyle w:val="ListParagraph"/>
        <w:numPr>
          <w:ilvl w:val="0"/>
          <w:numId w:val="2"/>
        </w:numPr>
        <w:spacing w:after="60" w:before="60"/>
      </w:pPr>
      <w:r>
        <w:rPr>
          <w:rFonts w:ascii="Arial" w:cs="Arial" w:eastAsia="Arial" w:hAnsi="Arial"/>
          <w:b w:val="false"/>
          <w:bCs w:val="false"/>
          <w:color w:val="404040"/>
          <w:sz w:val="20"/>
          <w:szCs w:val="20"/>
        </w:rPr>
        <w:t xml:space="preserve">Simulation de scénarios : réponses aux questions « what-if » du directeur de compte sur l'impact de variations tarifaires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D6E4F0" w:val="clear"/>
            <w:tcMar>
              <w:top w:type="dxa" w:w="120"/>
              <w:left w:type="dxa" w:w="200"/>
              <w:bottom w:type="dxa" w:w="120"/>
              <w:right w:type="dxa" w:w="200"/>
            </w:tcMar>
          </w:tcPr>
          <w:p>
            <w:r>
              <w:rPr>
                <w:rFonts w:ascii="Arial" w:cs="Arial" w:eastAsia="Arial" w:hAnsi="Arial"/>
                <w:b/>
                <w:bCs/>
                <w:color w:val="1B4F8A"/>
                <w:sz w:val="20"/>
                <w:szCs w:val="20"/>
              </w:rPr>
              <w:t xml:space="preserve">💡 Exemple concret : Un directeur de compte saisit 'Client Entreprise ABC — renouvellement marge de crédit 2M$, concurrent a offert X% — que faire?' et le copilote répond avec la rentabilité actuelle du client, l'espace de concession disponible, les arguments différenciateurs Desjardins, et une contre-offre optimale.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4.3  Optimisation mathématique</w:t>
      </w:r>
    </w:p>
    <w:p>
      <w:pPr>
        <w:spacing w:after="80" w:before="80"/>
      </w:pPr>
      <w:r>
        <w:rPr>
          <w:rFonts w:ascii="Arial" w:cs="Arial" w:eastAsia="Arial" w:hAnsi="Arial"/>
          <w:color w:val="404040"/>
          <w:sz w:val="20"/>
          <w:szCs w:val="20"/>
        </w:rPr>
        <w:t xml:space="preserve">L'optimisation mathématique permet de trouver le taux optimal d'une transaction ou d'un portefeuille sous contraintes multiples (RAROC minimum, part de marché cible, budget de capital, règles de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Programmation linéaire et mixte-entière (MILP) : optimisation de portefeuille avec contraintes réglementaires</w:t>
      </w:r>
    </w:p>
    <w:p>
      <w:pPr>
        <w:pStyle w:val="ListParagraph"/>
        <w:numPr>
          <w:ilvl w:val="0"/>
          <w:numId w:val="2"/>
        </w:numPr>
        <w:spacing w:after="60" w:before="60"/>
      </w:pPr>
      <w:r>
        <w:rPr>
          <w:rFonts w:ascii="Arial" w:cs="Arial" w:eastAsia="Arial" w:hAnsi="Arial"/>
          <w:b w:val="false"/>
          <w:bCs w:val="false"/>
          <w:color w:val="404040"/>
          <w:sz w:val="20"/>
          <w:szCs w:val="20"/>
        </w:rPr>
        <w:t xml:space="preserve">Optimisation stochastique : gestion de l'incertitude des taux et du risque dans les décisions de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Optimisation multi-objectifs (Pareto) : équilibrage entre maximisation du revenu et minimisation du risque</w:t>
      </w:r>
    </w:p>
    <w:p>
      <w:pPr>
        <w:pStyle w:val="ListParagraph"/>
        <w:numPr>
          <w:ilvl w:val="0"/>
          <w:numId w:val="2"/>
        </w:numPr>
        <w:spacing w:after="60" w:before="60"/>
      </w:pPr>
      <w:r>
        <w:rPr>
          <w:rFonts w:ascii="Arial" w:cs="Arial" w:eastAsia="Arial" w:hAnsi="Arial"/>
          <w:b w:val="false"/>
          <w:bCs w:val="false"/>
          <w:color w:val="404040"/>
          <w:sz w:val="20"/>
          <w:szCs w:val="20"/>
        </w:rPr>
        <w:t xml:space="preserve">Simulation Monte Carlo : évaluation de la distribution des RAROC sous scénarios de stress</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4.4  Segmentation avancée pour pricing différencié</w:t>
      </w:r>
    </w:p>
    <w:p>
      <w:pPr>
        <w:spacing w:after="80" w:before="80"/>
      </w:pPr>
      <w:r>
        <w:rPr>
          <w:rFonts w:ascii="Arial" w:cs="Arial" w:eastAsia="Arial" w:hAnsi="Arial"/>
          <w:color w:val="404040"/>
          <w:sz w:val="20"/>
          <w:szCs w:val="20"/>
        </w:rPr>
        <w:t xml:space="preserve">La segmentation traditionnelle (PME/grande entreprise, par secteur) est trop grossière pour capturer la diversité des profils de rentabilité. La segmentation analytique avancée combine :</w:t>
      </w:r>
    </w:p>
    <w:p>
      <w:pPr>
        <w:pStyle w:val="ListParagraph"/>
        <w:numPr>
          <w:ilvl w:val="0"/>
          <w:numId w:val="2"/>
        </w:numPr>
        <w:spacing w:after="60" w:before="60"/>
      </w:pPr>
      <w:r>
        <w:rPr>
          <w:rFonts w:ascii="Arial" w:cs="Arial" w:eastAsia="Arial" w:hAnsi="Arial"/>
          <w:b w:val="false"/>
          <w:bCs w:val="false"/>
          <w:color w:val="404040"/>
          <w:sz w:val="20"/>
          <w:szCs w:val="20"/>
        </w:rPr>
        <w:t xml:space="preserve">Micro-segmentation comportementale : groupes basés sur les patterns transactionnels, la profondeur de relation, et la dynamique d'utilisation</w:t>
      </w:r>
    </w:p>
    <w:p>
      <w:pPr>
        <w:pStyle w:val="ListParagraph"/>
        <w:numPr>
          <w:ilvl w:val="0"/>
          <w:numId w:val="2"/>
        </w:numPr>
        <w:spacing w:after="60" w:before="60"/>
      </w:pPr>
      <w:r>
        <w:rPr>
          <w:rFonts w:ascii="Arial" w:cs="Arial" w:eastAsia="Arial" w:hAnsi="Arial"/>
          <w:b w:val="false"/>
          <w:bCs w:val="false"/>
          <w:color w:val="404040"/>
          <w:sz w:val="20"/>
          <w:szCs w:val="20"/>
        </w:rPr>
        <w:t xml:space="preserve">Segmentation par valeur client (CLV) : prédiction de la valeur vie sur 3-5 ans pour justifier des investissements tarifaires</w:t>
      </w:r>
    </w:p>
    <w:p>
      <w:pPr>
        <w:pStyle w:val="ListParagraph"/>
        <w:numPr>
          <w:ilvl w:val="0"/>
          <w:numId w:val="2"/>
        </w:numPr>
        <w:spacing w:after="60" w:before="60"/>
      </w:pPr>
      <w:r>
        <w:rPr>
          <w:rFonts w:ascii="Arial" w:cs="Arial" w:eastAsia="Arial" w:hAnsi="Arial"/>
          <w:b w:val="false"/>
          <w:bCs w:val="false"/>
          <w:color w:val="404040"/>
          <w:sz w:val="20"/>
          <w:szCs w:val="20"/>
        </w:rPr>
        <w:t xml:space="preserve">Segmentation par élasticité : groupes homogènes de sensibilité au prix pour calibrer les offres</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4.5  Causal Inference &amp; Pricing</w:t>
      </w:r>
    </w:p>
    <w:p>
      <w:pPr>
        <w:spacing w:after="80" w:before="80"/>
      </w:pPr>
      <w:r>
        <w:rPr>
          <w:rFonts w:ascii="Arial" w:cs="Arial" w:eastAsia="Arial" w:hAnsi="Arial"/>
          <w:color w:val="404040"/>
          <w:sz w:val="20"/>
          <w:szCs w:val="20"/>
        </w:rPr>
        <w:t xml:space="preserve">Les méthodes causales permettent de mesurer l'impact RÉEL des changements de prix, en séparant l'effet causal du bruit (saisonnalité, tendances macro). Elles sont critiques pour éviter des conclusions erronées dans les tests A/B et les expériences de pricing.</w:t>
      </w:r>
    </w:p>
    <w:p>
      <w:pPr>
        <w:pStyle w:val="ListParagraph"/>
        <w:numPr>
          <w:ilvl w:val="0"/>
          <w:numId w:val="2"/>
        </w:numPr>
        <w:spacing w:after="60" w:before="60"/>
      </w:pPr>
      <w:r>
        <w:rPr>
          <w:rFonts w:ascii="Arial" w:cs="Arial" w:eastAsia="Arial" w:hAnsi="Arial"/>
          <w:b w:val="false"/>
          <w:bCs w:val="false"/>
          <w:color w:val="404040"/>
          <w:sz w:val="20"/>
          <w:szCs w:val="20"/>
        </w:rPr>
        <w:t xml:space="preserve">Difference-in-Differences (DiD) : comparer l'évolution d'un groupe traité (taux modifié) vs groupe contrôle</w:t>
      </w:r>
    </w:p>
    <w:p>
      <w:pPr>
        <w:pStyle w:val="ListParagraph"/>
        <w:numPr>
          <w:ilvl w:val="0"/>
          <w:numId w:val="2"/>
        </w:numPr>
        <w:spacing w:after="60" w:before="60"/>
      </w:pPr>
      <w:r>
        <w:rPr>
          <w:rFonts w:ascii="Arial" w:cs="Arial" w:eastAsia="Arial" w:hAnsi="Arial"/>
          <w:b w:val="false"/>
          <w:bCs w:val="false"/>
          <w:color w:val="404040"/>
          <w:sz w:val="20"/>
          <w:szCs w:val="20"/>
        </w:rPr>
        <w:t xml:space="preserve">Regression Discontinuity Design (RDD) : exploiter les seuils de pricing comme expériences naturelles</w:t>
      </w:r>
    </w:p>
    <w:p>
      <w:pPr>
        <w:pStyle w:val="ListParagraph"/>
        <w:numPr>
          <w:ilvl w:val="0"/>
          <w:numId w:val="2"/>
        </w:numPr>
        <w:spacing w:after="60" w:before="60"/>
      </w:pPr>
      <w:r>
        <w:rPr>
          <w:rFonts w:ascii="Arial" w:cs="Arial" w:eastAsia="Arial" w:hAnsi="Arial"/>
          <w:b w:val="false"/>
          <w:bCs w:val="false"/>
          <w:color w:val="404040"/>
          <w:sz w:val="20"/>
          <w:szCs w:val="20"/>
        </w:rPr>
        <w:t xml:space="preserve">Instrumental Variables (IV) : contrôler les biais de sélection dans les données observationnelles</w:t>
      </w:r>
    </w:p>
    <w:p>
      <w:pPr>
        <w:pStyle w:val="ListParagraph"/>
        <w:numPr>
          <w:ilvl w:val="0"/>
          <w:numId w:val="2"/>
        </w:numPr>
        <w:spacing w:after="60" w:before="60"/>
      </w:pPr>
      <w:r>
        <w:rPr>
          <w:rFonts w:ascii="Arial" w:cs="Arial" w:eastAsia="Arial" w:hAnsi="Arial"/>
          <w:b w:val="false"/>
          <w:bCs w:val="false"/>
          <w:color w:val="404040"/>
          <w:sz w:val="20"/>
          <w:szCs w:val="20"/>
        </w:rPr>
        <w:t xml:space="preserve">Synthetic Control Method : construire un groupe contrôle synthétique pour évaluer l'impact d'une politique</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4.6  Reinforcement Learning pour pricing adaptatif</w:t>
      </w:r>
    </w:p>
    <w:p>
      <w:pPr>
        <w:spacing w:after="80" w:before="80"/>
      </w:pPr>
      <w:r>
        <w:rPr>
          <w:rFonts w:ascii="Arial" w:cs="Arial" w:eastAsia="Arial" w:hAnsi="Arial"/>
          <w:color w:val="404040"/>
          <w:sz w:val="20"/>
          <w:szCs w:val="20"/>
        </w:rPr>
        <w:t xml:space="preserve">Le Reinforcement Learning (RL) modélise le pricing comme un jeu dynamique où l'agent (banque) apprend à ajuster ses prix au fil du temps pour maximiser une récompense cumulée (revenu à long terme, RAROC, rétention).</w:t>
      </w:r>
    </w:p>
    <w:p>
      <w:pPr>
        <w:pStyle w:val="ListParagraph"/>
        <w:numPr>
          <w:ilvl w:val="0"/>
          <w:numId w:val="2"/>
        </w:numPr>
        <w:spacing w:after="60" w:before="60"/>
      </w:pPr>
      <w:r>
        <w:rPr>
          <w:rFonts w:ascii="Arial" w:cs="Arial" w:eastAsia="Arial" w:hAnsi="Arial"/>
          <w:b w:val="false"/>
          <w:bCs w:val="false"/>
          <w:color w:val="404040"/>
          <w:sz w:val="20"/>
          <w:szCs w:val="20"/>
        </w:rPr>
        <w:t xml:space="preserve">Contextual Bandits : version simplifiée du RL pour choisir la meilleure offre parmi N options en temps réel</w:t>
      </w:r>
    </w:p>
    <w:p>
      <w:pPr>
        <w:pStyle w:val="ListParagraph"/>
        <w:numPr>
          <w:ilvl w:val="0"/>
          <w:numId w:val="2"/>
        </w:numPr>
        <w:spacing w:after="60" w:before="60"/>
      </w:pPr>
      <w:r>
        <w:rPr>
          <w:rFonts w:ascii="Arial" w:cs="Arial" w:eastAsia="Arial" w:hAnsi="Arial"/>
          <w:b w:val="false"/>
          <w:bCs w:val="false"/>
          <w:color w:val="404040"/>
          <w:sz w:val="20"/>
          <w:szCs w:val="20"/>
        </w:rPr>
        <w:t xml:space="preserve">Q-Learning / Deep RL : modélisation des séquences de décisions sur la durée de vie client</w:t>
      </w:r>
    </w:p>
    <w:p>
      <w:pPr>
        <w:pStyle w:val="ListParagraph"/>
        <w:numPr>
          <w:ilvl w:val="0"/>
          <w:numId w:val="2"/>
        </w:numPr>
        <w:spacing w:after="60" w:before="60"/>
      </w:pPr>
      <w:r>
        <w:rPr>
          <w:rFonts w:ascii="Arial" w:cs="Arial" w:eastAsia="Arial" w:hAnsi="Arial"/>
          <w:b w:val="false"/>
          <w:bCs w:val="false"/>
          <w:color w:val="404040"/>
          <w:sz w:val="20"/>
          <w:szCs w:val="20"/>
        </w:rPr>
        <w:t xml:space="preserve">Application : optimisation des taux de renouvellement, campagnes de rétention, timing des offres cross-sell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 Précaution : Le RL nécessite de très grandes quantités de données et des environnements de test bien contrôlés. Son déploiement direct en production sans phase de simulation extensive est risqué. En priorité : Contextual Bandits pour les campagnes d'offres.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4.7  Next Best Offer (NBO) appliqué à la tarification</w:t>
      </w:r>
    </w:p>
    <w:p>
      <w:pPr>
        <w:spacing w:after="80" w:before="80"/>
      </w:pPr>
      <w:r>
        <w:rPr>
          <w:rFonts w:ascii="Arial" w:cs="Arial" w:eastAsia="Arial" w:hAnsi="Arial"/>
          <w:color w:val="404040"/>
          <w:sz w:val="20"/>
          <w:szCs w:val="20"/>
        </w:rPr>
        <w:t xml:space="preserve">Le NBO intègre le pricing dans un moteur de recommandation qui identifie, pour chaque client, le moment optimal, le produit optimal, et le prix optimal pour maximiser la probabilité d'acceptation et la rentabilité.</w:t>
      </w:r>
    </w:p>
    <w:p>
      <w:pPr>
        <w:pStyle w:val="ListParagraph"/>
        <w:numPr>
          <w:ilvl w:val="0"/>
          <w:numId w:val="2"/>
        </w:numPr>
        <w:spacing w:after="60" w:before="60"/>
      </w:pPr>
      <w:r>
        <w:rPr>
          <w:rFonts w:ascii="Arial" w:cs="Arial" w:eastAsia="Arial" w:hAnsi="Arial"/>
          <w:b w:val="false"/>
          <w:bCs w:val="false"/>
          <w:color w:val="404040"/>
          <w:sz w:val="20"/>
          <w:szCs w:val="20"/>
        </w:rPr>
        <w:t xml:space="preserve">Input : profil client, historique transactionnel, stade de la relation, signaux comportementaux, prix de marché</w:t>
      </w:r>
    </w:p>
    <w:p>
      <w:pPr>
        <w:pStyle w:val="ListParagraph"/>
        <w:numPr>
          <w:ilvl w:val="0"/>
          <w:numId w:val="2"/>
        </w:numPr>
        <w:spacing w:after="60" w:before="60"/>
      </w:pPr>
      <w:r>
        <w:rPr>
          <w:rFonts w:ascii="Arial" w:cs="Arial" w:eastAsia="Arial" w:hAnsi="Arial"/>
          <w:b w:val="false"/>
          <w:bCs w:val="false"/>
          <w:color w:val="404040"/>
          <w:sz w:val="20"/>
          <w:szCs w:val="20"/>
        </w:rPr>
        <w:t xml:space="preserve">Output : recommandation d'action avec prix suggéré, arguments de vente, et probabilité d'acceptation estimée</w:t>
      </w:r>
    </w:p>
    <w:p>
      <w:pPr>
        <w:pStyle w:val="ListParagraph"/>
        <w:numPr>
          <w:ilvl w:val="0"/>
          <w:numId w:val="2"/>
        </w:numPr>
        <w:spacing w:after="60" w:before="60"/>
      </w:pPr>
      <w:r>
        <w:rPr>
          <w:rFonts w:ascii="Arial" w:cs="Arial" w:eastAsia="Arial" w:hAnsi="Arial"/>
          <w:b w:val="false"/>
          <w:bCs w:val="false"/>
          <w:color w:val="404040"/>
          <w:sz w:val="20"/>
          <w:szCs w:val="20"/>
        </w:rPr>
        <w:t xml:space="preserve">Intégration CRM : le NBO alimente directement la liste de tâches du directeur de compte</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05  </w:t>
      </w:r>
      <w:r>
        <w:rPr>
          <w:rFonts w:ascii="Arial" w:cs="Arial" w:eastAsia="Arial" w:hAnsi="Arial"/>
          <w:b/>
          <w:bCs/>
          <w:color w:val="FFFFFF"/>
          <w:sz w:val="36"/>
          <w:szCs w:val="36"/>
        </w:rPr>
        <w:t xml:space="preserve">CAS D'USAGE ANALYTIQUES PRIORITAIRES</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5.1  Matrice de priorisation des cas d'usage</w:t>
      </w:r>
    </w:p>
    <w:p>
      <w:pPr>
        <w:spacing w:after="80" w:before="80"/>
      </w:pPr>
      <w:r>
        <w:rPr>
          <w:rFonts w:ascii="Arial" w:cs="Arial" w:eastAsia="Arial" w:hAnsi="Arial"/>
          <w:color w:val="404040"/>
          <w:sz w:val="20"/>
          <w:szCs w:val="20"/>
        </w:rPr>
        <w:t xml:space="preserve">Les cas d'usage sont évalués selon deux dimensions : valeur d'affaires (impact revenu, RAROC, rétention) et complexité d'implantation (données, modèles, changement organisationnel). Les quick wins se situent dans le quadrant haute valeur / faible complexité.</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900"/>
        <w:gridCol w:w="900"/>
        <w:gridCol w:w="1560"/>
        <w:gridCol w:w="1600"/>
      </w:tblGrid>
      <w:tr>
        <w:trPr>
          <w:tblHeader/>
        </w:trPr>
        <w:tc>
          <w:tcPr>
            <w:tcW w:type="dxa" w:w="4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30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Cas d'usage</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Valeur
(1–5)</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Complexité
(1–5)</w:t>
            </w:r>
          </w:p>
        </w:tc>
        <w:tc>
          <w:tcPr>
            <w:tcW w:type="dxa" w:w="15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Horizon</w:t>
            </w:r>
          </w:p>
        </w:tc>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Priorité</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Détection de sous-tarification (anomalie)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Court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CRITIQUE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Recommandation de taux optimal (DC advisor)</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CRITIQUE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Simulation de rentabilité client (RAROC live)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CRITIQUE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Prédiction d'acceptation d'offre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HAUTE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Copilote IA de négociation commerciale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HAUTE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d'opportunités de hausse tarifaire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Court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HAUTE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Intelligence compétitive (mandat NBO externe)</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Long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HAUTE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 pricing (rétention proactive)</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MOYENNE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Optimisation du spread FX</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Court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MOYENNE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Pricing personnalisé par micro-segment</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Long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MOYENNE</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Next Best Offer intégré CRM</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Long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MOYENNE</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12</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Benchmarking concurrentiel automatisé</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STANDARD</w:t>
            </w:r>
          </w:p>
        </w:tc>
      </w:tr>
      <w:tr>
        <w:tc>
          <w:tcPr>
            <w:tcW w:type="dxa" w:w="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13</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Optimisation portefeuille-client (allocation capital)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Long terme</w:t>
            </w:r>
          </w:p>
        </w:tc>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STANDARD</w:t>
            </w:r>
          </w:p>
        </w:tc>
      </w:tr>
      <w:tr>
        <w:tc>
          <w:tcPr>
            <w:tcW w:type="dxa" w:w="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14</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Reinforcement Learning pricing adaptatif</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Long terme</w:t>
            </w:r>
          </w:p>
        </w:tc>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FUTUR</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06  </w:t>
      </w:r>
      <w:r>
        <w:rPr>
          <w:rFonts w:ascii="Arial" w:cs="Arial" w:eastAsia="Arial" w:hAnsi="Arial"/>
          <w:b/>
          <w:bCs/>
          <w:color w:val="FFFFFF"/>
          <w:sz w:val="36"/>
          <w:szCs w:val="36"/>
        </w:rPr>
        <w:t xml:space="preserve">ANALYSE DÉTAILLÉE DES CAS D'USAGE</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6.1  Détection de sous-tarification anormale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 d'affaires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Identifier les clients dont le taux effectif est statistiquement inférieur à ce que justifie leur profil de risque/valeur — soit parce que le taux n'a pas été révisé depuis longtemps, soit parce que la concession initiale n'était pas justifiée. Ces anomalies représentent un 'revenu manquant' récupérable sans risque de perte de relation si bien géré.</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 requises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effectifs clients, profils de risque (PD/LGD), FTP historique, revenu cross-sell, secteur NAICS, date du dernier renouvellement, historique des concessions, taux de marché contemporains</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 analytiques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Isolation Forest ou Local Outlier Factor pour détection d'anomalies non supervisée; modèle supervisé de 'taux attendu' (GBM entraîné sur le taux de marché historique); calcul du 'pricing gap' = taux marché estimé – taux effectif client</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 impactés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NIM (+5–15 pb sur portefeuille), RAROC moyen, revenu net d'intérêts, taux de révision tarifaire annuelle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 — données internes disponibles, modèle simple, pas de changement réglementaire requis. Principal défi : change management avec les directeurs de comptes.</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 potentiels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Récupération estimée 3–8 pb sur 20–30 % du portefeuille = +$2M–$8M revenu annuel (portefeuille $5B). ROI très élevé.</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 &amp; Réglementaire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de relation si hausse perçue comme brutale → communication graduée essentielle. Vérifier absence de discrimination systématique par secteur ou région.</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6.2  Recommandation de taux optimal — Pricing Advisor pour directeurs de comptes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 d'affaires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Fournir au directeur de compte, au moment de structurer une offre ou un renouvellement, un taux recommandé personnalisé avec les intervalles de négociation (rack rate, taux cible, plancher RAROC) et la justification analytique. Remplace la dépendance au 'feeling' et réduit les concessions non justifiées.</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 requises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Profil de risque client (PD/LGD), profitabilité historique, FTP actuel, taux de marché concurrentiel (mystery shopping, benchmarks), variables de relation (WoW, ancienneté, produits détenus), élasticité estimée, budget capital disponible</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 analytiques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taux optimal = f(risque, valeur relation, marché, élasticité). Architecture : (1) modèle de risque → coût du risque; (2) modèle de profitabilité → RAROC à chaque taux; (3) modèle d'élasticité → probabilité d'acceptation; (4) optimisation du taux maximisant E[RAROC × P(acceptation)].</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 impactés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d'acceptation des offres, RAROC moyen portefeuille, revenu net d'intérêts, taux de concession moyen, satisfaction directeurs de comptes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 — nécessite l'intégration du modèle dans le flux CRM, formation des directeurs, et construction préalable du modèle d'élasticité (le plus difficile).</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 potentiels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de 15–25 % des concessions non justifiées, amélioration NIM de 5–12 pb, réduction du temps de préparation des offres de 40–60 %. Potentiel $5M–$15M revenu incrémental.</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 &amp; Réglementaire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d'adoption si les directeurs perçoivent l'outil comme une contrainte plutôt qu'une aide. Solution : co-développement avec les directeurs, explainabilité SHAP des recommandations, liberté de s'écarter avec justification.</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6.3  Simulation de rentabilité client en temps réel (RAROC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Logique d'affaires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Donner au directeur de compte un tableau de bord de rentabilité client en temps réel, calculant le RAROC consolidé de la relation (crédit + dépôts + fees + cross-sell) et permettant de simuler l'impact d'une modification de taux ou d'un nouveau produit. Outil de négociation et de gouvernance.</w:t>
            </w:r>
          </w:p>
        </w:tc>
      </w:tr>
      <w:tr>
        <w:tc>
          <w:tcPr>
            <w:tcW w:type="dxa" w:w="18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tcPr>
          <w:p>
            <w:r>
              <w:rPr>
                <w:rFonts w:ascii="Arial" w:cs="Arial" w:eastAsia="Arial" w:hAnsi="Arial"/>
                <w:b/>
                <w:bCs/>
                <w:color w:val="1B4F8A"/>
                <w:sz w:val="18"/>
                <w:szCs w:val="18"/>
              </w:rPr>
              <w:t xml:space="preserve">Données requises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Tous les revenus client (intérêts nets, commissions, fees, FX margin), coûts alloués (FTP, risque, capital, exploitation), profil de risque, FTP par facilité, données de profitabilité ABC</w:t>
            </w:r>
          </w:p>
        </w:tc>
      </w:tr>
      <w:tr>
        <w:tc>
          <w:tcPr>
            <w:tcW w:type="dxa" w:w="1800"/>
            <w:tcBorders>
              <w:top w:val="single" w:color="D9D9D9" w:sz="4"/>
              <w:left w:val="single" w:color="D9D9D9" w:sz="4"/>
              <w:bottom w:val="single" w:color="D9D9D9" w:sz="4"/>
              <w:right w:val="single" w:color="D9D9D9" w:sz="4"/>
            </w:tcBorders>
            <w:shd w:fill="FFF2CC" w:val="clear"/>
            <w:tcMar>
              <w:top w:type="dxa" w:w="80"/>
              <w:left w:type="dxa" w:w="120"/>
              <w:bottom w:type="dxa" w:w="80"/>
              <w:right w:type="dxa" w:w="120"/>
            </w:tcMar>
          </w:tcPr>
          <w:p>
            <w:r>
              <w:rPr>
                <w:rFonts w:ascii="Arial" w:cs="Arial" w:eastAsia="Arial" w:hAnsi="Arial"/>
                <w:b/>
                <w:bCs/>
                <w:color w:val="8B6914"/>
                <w:sz w:val="18"/>
                <w:szCs w:val="18"/>
              </w:rPr>
              <w:t xml:space="preserve">Modèles analytiques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profitabilité client multi-produit : agrégation des RAROC individuels par produit; allocation des coûts fixes par ABC; simulation paramétrique (changement taux → impact RAROC); visualisation waterfall dynamique</w:t>
            </w:r>
          </w:p>
        </w:tc>
      </w:tr>
      <w:tr>
        <w:tc>
          <w:tcPr>
            <w:tcW w:type="dxa" w:w="1800"/>
            <w:tcBorders>
              <w:top w:val="single" w:color="D9D9D9" w:sz="4"/>
              <w:left w:val="single" w:color="D9D9D9" w:sz="4"/>
              <w:bottom w:val="single" w:color="D9D9D9" w:sz="4"/>
              <w:right w:val="single" w:color="D9D9D9" w:sz="4"/>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KPI impactés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RAROC portefeuille moyen, revenu par ETP (directeur de compte), qualité des décisions de concession, satisfaction client (relation mieux informée)</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Complexité</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MOYENNE — pré-requis: système de profitabilité client fonctionnel, FTP bien calibré, ABC opérationnel. Si ces briques sont absentes, ce cas d'usage ne peut être déployé.</w:t>
            </w:r>
          </w:p>
        </w:tc>
      </w:tr>
      <w:tr>
        <w:tc>
          <w:tcPr>
            <w:tcW w:type="dxa" w:w="1800"/>
            <w:tcBorders>
              <w:top w:val="single" w:color="D9D9D9" w:sz="4"/>
              <w:left w:val="single" w:color="D9D9D9" w:sz="4"/>
              <w:bottom w:val="single" w:color="D9D9D9" w:sz="4"/>
              <w:right w:val="single" w:color="D9D9D9" w:sz="4"/>
            </w:tcBorders>
            <w:shd w:fill="E8F5EF" w:val="clear"/>
            <w:tcMar>
              <w:top w:type="dxa" w:w="80"/>
              <w:left w:type="dxa" w:w="120"/>
              <w:bottom w:type="dxa" w:w="80"/>
              <w:right w:type="dxa" w:w="120"/>
            </w:tcMar>
          </w:tcPr>
          <w:p>
            <w:r>
              <w:rPr>
                <w:rFonts w:ascii="Arial" w:cs="Arial" w:eastAsia="Arial" w:hAnsi="Arial"/>
                <w:b/>
                <w:bCs/>
                <w:color w:val="004D33"/>
                <w:sz w:val="18"/>
                <w:szCs w:val="18"/>
              </w:rPr>
              <w:t xml:space="preserve">Gains potentiels</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Amélioration qualitative des décisions de crédit (difficile à quantifier) + réduction des concessions destructrices de valeur. Impact potentiel $3M–$10M selon la maturité actuelle du système de profitabilité.</w:t>
            </w:r>
          </w:p>
        </w:tc>
      </w:tr>
      <w:tr>
        <w:tc>
          <w:tcPr>
            <w:tcW w:type="dxa" w:w="1800"/>
            <w:tcBorders>
              <w:top w:val="single" w:color="D9D9D9" w:sz="4"/>
              <w:left w:val="single" w:color="D9D9D9" w:sz="4"/>
              <w:bottom w:val="single" w:color="D9D9D9" w:sz="4"/>
              <w:right w:val="single" w:color="D9D9D9" w:sz="4"/>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Risques &amp; Réglementaire</w:t>
            </w:r>
          </w:p>
        </w:tc>
        <w:tc>
          <w:tcPr>
            <w:tcW w:type="dxa" w:w="7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Risque d'utiliser la rentabilité client pour des décisions de crédit (discrimination indirecte). La rentabilité ne peut pas être le seul critère d'accès au crédit. Clarifier dans la politique.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6.4  Prédiction d'acceptation d'offre &amp; Churn Pricing</w:t>
      </w:r>
    </w:p>
    <w:p>
      <w:pPr>
        <w:spacing w:after="80" w:before="80"/>
      </w:pPr>
      <w:r>
        <w:rPr>
          <w:rFonts w:ascii="Arial" w:cs="Arial" w:eastAsia="Arial" w:hAnsi="Arial"/>
          <w:color w:val="404040"/>
          <w:sz w:val="20"/>
          <w:szCs w:val="20"/>
        </w:rPr>
        <w:t xml:space="preserve">Ces deux cas d'usage sont complémentaires : le premier optimise la probabilité de conclure une nouvelle offre, le second identifie les clients à risque de départ et calibre la réponse tarifaire optimale.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Dimension</w:t>
            </w:r>
          </w:p>
        </w:tc>
        <w:tc>
          <w:tcPr>
            <w:tcW w:type="dxa" w:w="378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Prédiction d'acceptation d'offre</w:t>
            </w:r>
          </w:p>
        </w:tc>
        <w:tc>
          <w:tcPr>
            <w:tcW w:type="dxa" w:w="378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Churn Pricing</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Objectif</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Maximiser le taux de conversion des offres au meilleur prix</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Retenir les clients à risque d'attrition au moindre coût de rétention</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 cible</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Acceptation OUI/NON dans les 30 jours</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 dans les 6–12 prochains mois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Features clés</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Taux offert vs taux marché, ancienneté relation, produits détenus, secteur, score de santé client, historique d'acceptation</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Réduction d'utilisation, signaux CRM, comportement AccèsD, score concurrent (mandat NBO), ancienneté, rentabilité</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principal</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Gradient Boosting classification, calibré en probabilité (Platt scaling)</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Survival analysis + classification binaire; modèle de coût de rétention optimal</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Action déclenchée</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Offre au taux optimal selon P(acceptation) × RAROC</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Alerte conseiller + offre de rétention calibrée (discount ciblé, nouveau produit)</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KPI</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Taux de conversion offres (+10–20 %), RAROC moyen offres signées</w:t>
            </w:r>
          </w:p>
        </w:tc>
        <w:tc>
          <w:tcPr>
            <w:tcW w:type="dxa" w:w="37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Taux de rétention (+5–15 %), coût de rétention par $ de revenu préservé</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Gain potentiel</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$3M–$8M (réduction des offres rejetées et des sur-concessions)</w:t>
            </w:r>
          </w:p>
        </w:tc>
        <w:tc>
          <w:tcPr>
            <w:tcW w:type="dxa" w:w="37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$5M–$15M (prévention du churn sur clients haute valeur)</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6.5  Copilote IA de négociation commerciale</w:t>
      </w:r>
    </w:p>
    <w:p>
      <w:pPr>
        <w:spacing w:after="80" w:before="80"/>
      </w:pPr>
      <w:r>
        <w:rPr>
          <w:rFonts w:ascii="Arial" w:cs="Arial" w:eastAsia="Arial" w:hAnsi="Arial"/>
          <w:color w:val="404040"/>
          <w:sz w:val="20"/>
          <w:szCs w:val="20"/>
        </w:rPr>
        <w:t xml:space="preserve">Ce cas d'usage représente la convergence de l'IA générative et de l'analytique de pricing. Le copilote assiste le directeur de compte en temps réel pendant la préparation et la conduite des négociations tarifaires.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EDE4F5" w:val="clear"/>
            <w:tcMar>
              <w:top w:type="dxa" w:w="120"/>
              <w:left w:type="dxa" w:w="200"/>
              <w:bottom w:type="dxa" w:w="120"/>
              <w:right w:type="dxa" w:w="200"/>
            </w:tcMar>
          </w:tcPr>
          <w:p>
            <w:r>
              <w:rPr>
                <w:rFonts w:ascii="Arial" w:cs="Arial" w:eastAsia="Arial" w:hAnsi="Arial"/>
                <w:b/>
                <w:bCs/>
                <w:color w:val="5B2C6F"/>
                <w:sz w:val="20"/>
                <w:szCs w:val="20"/>
              </w:rPr>
              <w:t xml:space="preserve">Architecture : LLM fine-tuné sur les données Desjardins (produits, politiques, cas clients) + RAG (Retrieval-Augmented Generation) sur la base de connaissances interne + accès API au système de profitabilité client en temps réel → Interface conversationnelle intégrée au CRM.</w:t>
            </w:r>
          </w:p>
        </w:tc>
      </w:tr>
    </w:tbl>
    <w:p>
      <w:pPr>
        <w:spacing w:before="150"/>
      </w:pPr>
      <w:r>
        <w:t xml:space="preserve"/>
      </w:r>
    </w:p>
    <w:p>
      <w:pPr>
        <w:pStyle w:val="ListParagraph"/>
        <w:numPr>
          <w:ilvl w:val="0"/>
          <w:numId w:val="2"/>
        </w:numPr>
        <w:spacing w:after="60" w:before="60"/>
      </w:pPr>
      <w:r>
        <w:rPr>
          <w:rFonts w:ascii="Arial" w:cs="Arial" w:eastAsia="Arial" w:hAnsi="Arial"/>
          <w:b w:val="false"/>
          <w:bCs w:val="false"/>
          <w:color w:val="404040"/>
          <w:sz w:val="20"/>
          <w:szCs w:val="20"/>
        </w:rPr>
        <w:t xml:space="preserve">Fonctionnalité 1 — Briefing client automatique : résumé narratif du profil client, historique de la relation, dernières interactions, signaux d'alerte, opportunités cross-sell</w:t>
      </w:r>
    </w:p>
    <w:p>
      <w:pPr>
        <w:pStyle w:val="ListParagraph"/>
        <w:numPr>
          <w:ilvl w:val="0"/>
          <w:numId w:val="2"/>
        </w:numPr>
        <w:spacing w:after="60" w:before="60"/>
      </w:pPr>
      <w:r>
        <w:rPr>
          <w:rFonts w:ascii="Arial" w:cs="Arial" w:eastAsia="Arial" w:hAnsi="Arial"/>
          <w:b w:val="false"/>
          <w:bCs w:val="false"/>
          <w:color w:val="404040"/>
          <w:sz w:val="20"/>
          <w:szCs w:val="20"/>
        </w:rPr>
        <w:t xml:space="preserve">Fonctionnalité 2 — Simulation de scénarios tarifaires : 'Si je baisse le taux de 25 pb, quel est l'impact sur le RAROC et le revenu annuel?'</w:t>
      </w:r>
    </w:p>
    <w:p>
      <w:pPr>
        <w:pStyle w:val="ListParagraph"/>
        <w:numPr>
          <w:ilvl w:val="0"/>
          <w:numId w:val="2"/>
        </w:numPr>
        <w:spacing w:after="60" w:before="60"/>
      </w:pPr>
      <w:r>
        <w:rPr>
          <w:rFonts w:ascii="Arial" w:cs="Arial" w:eastAsia="Arial" w:hAnsi="Arial"/>
          <w:b w:val="false"/>
          <w:bCs w:val="false"/>
          <w:color w:val="404040"/>
          <w:sz w:val="20"/>
          <w:szCs w:val="20"/>
        </w:rPr>
        <w:t xml:space="preserve">Fonctionnalité 3 — Arguments de valeur différenciateurs : génère les arguments spécifiques à ce client pour justifier le prix Desjardins vs la concurrence</w:t>
      </w:r>
    </w:p>
    <w:p>
      <w:pPr>
        <w:pStyle w:val="ListParagraph"/>
        <w:numPr>
          <w:ilvl w:val="0"/>
          <w:numId w:val="2"/>
        </w:numPr>
        <w:spacing w:after="60" w:before="60"/>
      </w:pPr>
      <w:r>
        <w:rPr>
          <w:rFonts w:ascii="Arial" w:cs="Arial" w:eastAsia="Arial" w:hAnsi="Arial"/>
          <w:b w:val="false"/>
          <w:bCs w:val="false"/>
          <w:color w:val="404040"/>
          <w:sz w:val="20"/>
          <w:szCs w:val="20"/>
        </w:rPr>
        <w:t xml:space="preserve">Fonctionnalité 4 — Contre-offre optimale : propose une réponse structurée à la demande de concession du client (ex: baisse taux + augmentation commission d'engagement)</w:t>
      </w:r>
    </w:p>
    <w:p>
      <w:pPr>
        <w:pStyle w:val="ListParagraph"/>
        <w:numPr>
          <w:ilvl w:val="0"/>
          <w:numId w:val="2"/>
        </w:numPr>
        <w:spacing w:after="60" w:before="60"/>
      </w:pPr>
      <w:r>
        <w:rPr>
          <w:rFonts w:ascii="Arial" w:cs="Arial" w:eastAsia="Arial" w:hAnsi="Arial"/>
          <w:b w:val="false"/>
          <w:bCs w:val="false"/>
          <w:color w:val="404040"/>
          <w:sz w:val="20"/>
          <w:szCs w:val="20"/>
        </w:rPr>
        <w:t xml:space="preserve">Fonctionnalité 5 — Détection d'opportunités non exprimées : identifie dans la conversation des besoins latents non adressés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Dimension</w:t>
            </w:r>
          </w:p>
        </w:tc>
        <w:tc>
          <w:tcPr>
            <w:tcW w:type="dxa" w:w="73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Détail</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requises</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CRM complet, profitabilité client, base de connaissances produits, politiques de pricing, historique de négociations, intel concurrentielle, données transactions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Modèles</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LLM (Claude 3 Opus ou GPT-4) + RAG + modèle de profitabilité API + NLP extraction CRM</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KPI impactés</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NPS directeurs de comptes, taux de concession, revenu par réunion client, temps de préparation (-50%)</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Complexité</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ÉLEVÉE — nécessite infrastructure LLM sécurisée (données confidentielles), intégration CRM, formation utilisateurs, gouvernance IA</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Gain potentiel</w:t>
            </w:r>
          </w:p>
        </w:tc>
        <w:tc>
          <w:tcPr>
            <w:tcW w:type="dxa" w:w="7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$5M–$20M à terme (combinaison de meilleures décisions × volume d'interactions)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Risques</w:t>
            </w:r>
          </w:p>
        </w:tc>
        <w:tc>
          <w:tcPr>
            <w:tcW w:type="dxa" w:w="7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Hallucinations LLM → vérification humaine obligatoire. Confidentialité des données clients. Biais dans les recommandations.</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6.6  Intelligence Compétitive &amp; Score NBO Externe (Mandat FM-PVPE-2025)</w:t>
      </w:r>
    </w:p>
    <w:p>
      <w:pPr>
        <w:spacing w:after="80" w:before="80"/>
      </w:pPr>
      <w:r>
        <w:rPr>
          <w:rFonts w:ascii="Arial" w:cs="Arial" w:eastAsia="Arial" w:hAnsi="Arial"/>
          <w:color w:val="404040"/>
          <w:sz w:val="20"/>
          <w:szCs w:val="20"/>
        </w:rPr>
        <w:t xml:space="preserve">Ce cas d'usage — formalisé dans le mandat que vous avez fourni — vise à détecter les produits détenus chez les concurrents via des signaux analytiques. Il s'inscrit dans la stratégie de pricing en permettant de calibrer les offres selon la situation concurrentielle réelle du client.</w:t>
      </w:r>
    </w:p>
    <w:p>
      <w:pPr>
        <w:spacing w:before="80"/>
      </w:pPr>
      <w:r>
        <w:t xml:space="preserve"/>
      </w:r>
    </w:p>
    <w:p>
      <w:pPr>
        <w:spacing w:after="80" w:before="80"/>
      </w:pPr>
      <w:r>
        <w:rPr>
          <w:rFonts w:ascii="Arial" w:cs="Arial" w:eastAsia="Arial" w:hAnsi="Arial"/>
          <w:color w:val="404040"/>
          <w:sz w:val="20"/>
          <w:szCs w:val="20"/>
        </w:rPr>
        <w:t xml:space="preserve">Lien avec le pricing :</w:t>
      </w:r>
    </w:p>
    <w:p>
      <w:pPr>
        <w:pStyle w:val="ListParagraph"/>
        <w:numPr>
          <w:ilvl w:val="0"/>
          <w:numId w:val="2"/>
        </w:numPr>
        <w:spacing w:after="60" w:before="60"/>
      </w:pPr>
      <w:r>
        <w:rPr>
          <w:rFonts w:ascii="Arial" w:cs="Arial" w:eastAsia="Arial" w:hAnsi="Arial"/>
          <w:b w:val="false"/>
          <w:bCs w:val="false"/>
          <w:color w:val="404040"/>
          <w:sz w:val="20"/>
          <w:szCs w:val="20"/>
        </w:rPr>
        <w:t xml:space="preserve">Un client avec une marge de crédit chez un concurrent est un client élastique au prix → justifie une offre plus agressive</w:t>
      </w:r>
    </w:p>
    <w:p>
      <w:pPr>
        <w:pStyle w:val="ListParagraph"/>
        <w:numPr>
          <w:ilvl w:val="0"/>
          <w:numId w:val="2"/>
        </w:numPr>
        <w:spacing w:after="60" w:before="60"/>
      </w:pPr>
      <w:r>
        <w:rPr>
          <w:rFonts w:ascii="Arial" w:cs="Arial" w:eastAsia="Arial" w:hAnsi="Arial"/>
          <w:b w:val="false"/>
          <w:bCs w:val="false"/>
          <w:color w:val="404040"/>
          <w:sz w:val="20"/>
          <w:szCs w:val="20"/>
        </w:rPr>
        <w:t xml:space="preserve">Un client dont les terminaux de paiement sont chez Moneris a un churn risk élevé → déclenche une offre Global Payment proactive</w:t>
      </w:r>
    </w:p>
    <w:p>
      <w:pPr>
        <w:pStyle w:val="ListParagraph"/>
        <w:numPr>
          <w:ilvl w:val="0"/>
          <w:numId w:val="2"/>
        </w:numPr>
        <w:spacing w:after="60" w:before="60"/>
      </w:pPr>
      <w:r>
        <w:rPr>
          <w:rFonts w:ascii="Arial" w:cs="Arial" w:eastAsia="Arial" w:hAnsi="Arial"/>
          <w:b w:val="false"/>
          <w:bCs w:val="false"/>
          <w:color w:val="404040"/>
          <w:sz w:val="20"/>
          <w:szCs w:val="20"/>
        </w:rPr>
        <w:t xml:space="preserve">Un client sans produit concurrent détecté est moins élastique → maintien ou hausse tarifaire possible</w:t>
      </w:r>
    </w:p>
    <w:p>
      <w:pPr>
        <w:pStyle w:val="ListParagraph"/>
        <w:numPr>
          <w:ilvl w:val="0"/>
          <w:numId w:val="2"/>
        </w:numPr>
        <w:spacing w:after="60" w:before="60"/>
      </w:pPr>
      <w:r>
        <w:rPr>
          <w:rFonts w:ascii="Arial" w:cs="Arial" w:eastAsia="Arial" w:hAnsi="Arial"/>
          <w:b w:val="false"/>
          <w:bCs w:val="false"/>
          <w:color w:val="404040"/>
          <w:sz w:val="20"/>
          <w:szCs w:val="20"/>
        </w:rPr>
        <w:t xml:space="preserve">La détection de multi-bancarisation permet une stratégie de bundling tarifaire : 'apportez votre financement ici et bénéficiez d'un taux préférentiel sur votre marge'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bCs/>
                <w:color w:val="8B6914"/>
                <w:sz w:val="20"/>
                <w:szCs w:val="20"/>
              </w:rPr>
              <w:t xml:space="preserve">Synergie stratégique : Le mandat NBO externe et le Pricing Advisor sont les deux faces d'une même pièce. Le NBO externe dit 'ce client a des produits ailleurs'. Le Pricing Advisor dit 'voici le taux optimal pour le récupérer'. Ensemble, ils forment un moteur d'intelligence commerciale complet.</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6.7  Optimisation du spread FX &amp; Benchmarking concurrentiel</w:t>
      </w:r>
    </w:p>
    <w:p>
      <w:pPr>
        <w:spacing w:after="80" w:before="80"/>
      </w:pPr>
      <w:r>
        <w:rPr>
          <w:rFonts w:ascii="Arial" w:cs="Arial" w:eastAsia="Arial" w:hAnsi="Arial"/>
          <w:color w:val="404040"/>
          <w:sz w:val="20"/>
          <w:szCs w:val="20"/>
        </w:rPr>
        <w:t xml:space="preserve">Les services de change représentent une opportunité de revenus fees souvent sous-optimisée. Le spread FX est rarement modélisé analytiquement; il est typiquement fixé manuellement par segment ou par conseiller.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Opportunité</w:t>
            </w:r>
          </w:p>
        </w:tc>
        <w:tc>
          <w:tcPr>
            <w:tcW w:type="dxa" w:w="40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Approche analytique</w:t>
            </w:r>
          </w:p>
        </w:tc>
        <w:tc>
          <w:tcPr>
            <w:tcW w:type="dxa" w:w="28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estimé</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Calibration du spread par profil client</w:t>
            </w:r>
          </w:p>
        </w:tc>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spread optimal = f(volume, fréquence, sensibilité-prix, alternatives)</w:t>
            </w:r>
          </w:p>
        </w:tc>
        <w:tc>
          <w:tcPr>
            <w:tcW w:type="dxa" w:w="28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+10–30 % revenu FX</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des transactions FX hors-plateforme</w:t>
            </w:r>
          </w:p>
        </w:tc>
        <w:tc>
          <w:tcPr>
            <w:tcW w:type="dxa" w:w="4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Analyse des virements SWIFT vers institutions concurrentes</w:t>
            </w:r>
          </w:p>
        </w:tc>
        <w:tc>
          <w:tcPr>
            <w:tcW w:type="dxa" w:w="28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Récupération 15–25 % du volume perdu</w:t>
            </w:r>
          </w:p>
        </w:tc>
      </w:tr>
      <w:tr>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Offres de couverture proactives (hedging)</w:t>
            </w:r>
          </w:p>
        </w:tc>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de propension à la couverture basé sur l'exposition aux devises et la volatilité</w:t>
            </w:r>
          </w:p>
        </w:tc>
        <w:tc>
          <w:tcPr>
            <w:tcW w:type="dxa" w:w="28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Nouveau revenu fees +$1M–$3M</w:t>
            </w:r>
          </w:p>
        </w:tc>
      </w:tr>
      <w:tr>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Benchmarking automatisé des spreads concurrents</w:t>
            </w:r>
          </w:p>
        </w:tc>
        <w:tc>
          <w:tcPr>
            <w:tcW w:type="dxa" w:w="4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Scraping légal + API de données de marché + mystery shopping structuré</w:t>
            </w:r>
          </w:p>
        </w:tc>
        <w:tc>
          <w:tcPr>
            <w:tcW w:type="dxa" w:w="28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Positionnement optimal vs marché</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07  </w:t>
      </w:r>
      <w:r>
        <w:rPr>
          <w:rFonts w:ascii="Arial" w:cs="Arial" w:eastAsia="Arial" w:hAnsi="Arial"/>
          <w:b/>
          <w:bCs/>
          <w:color w:val="FFFFFF"/>
          <w:sz w:val="36"/>
          <w:szCs w:val="36"/>
        </w:rPr>
        <w:t xml:space="preserve">QUICK WINS VS INITIATIVES TRANSFORMATIONNELLES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100"/>
        <w:gridCol w:w="1700"/>
        <w:gridCol w:w="2160"/>
      </w:tblGrid>
      <w:tr>
        <w:trPr>
          <w:tblHeader/>
        </w:trPr>
        <w:tc>
          <w:tcPr>
            <w:tcW w:type="dxa" w:w="2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Initiative</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Horizon</w:t>
            </w:r>
          </w:p>
        </w:tc>
        <w:tc>
          <w:tcPr>
            <w:tcW w:type="dxa" w:w="11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Investissement</w:t>
            </w:r>
          </w:p>
        </w:tc>
        <w:tc>
          <w:tcPr>
            <w:tcW w:type="dxa" w:w="17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revenu estimé</w:t>
            </w:r>
          </w:p>
        </w:tc>
        <w:tc>
          <w:tcPr>
            <w:tcW w:type="dxa" w:w="21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Dépendances</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Rapport de sous-tarification (anomalie detection)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0–3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+$2M–$5M/an</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taux + profil risque</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Dashboard profitabilité client (RAROC simplifié)</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3–6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+$3M–$8M/an</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Système profitabilité ABC</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Benchmarking tarifaire structuré (manuel→automatisé)</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3–6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Faible</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Décisions mieux informées</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Sources externes intel</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Governance du pricing (matrice concessions)</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Quick Win</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1–3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faible</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Réduction concessions 10–20 %</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Politique + approbation</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d'élasticité-prix initial (MVP)</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6–12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Base pour NBO et advisor</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historiques d'acceptation</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Pricing Advisor CRM (taux recommandé)</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Transformationnel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12–18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Élevé</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+$5M–$15M/an</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Élasticité + profitabilité + CRM</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Score concurrent NBO externe (mandat 2025)</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Transformationnel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18–30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Élevé</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+$3M–$10M/an</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Pipeline données + conformité</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Churn Pricing Model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Foundational</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9–15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Moyen</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+$5M–$12M/an</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Données comportementales + CRM</w:t>
            </w:r>
          </w:p>
        </w:tc>
      </w:tr>
      <w:tr>
        <w:tc>
          <w:tcPr>
            <w:tcW w:type="dxa" w:w="2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Copilote IA négociation (LLM + RAG)</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Transformationnel</w:t>
            </w:r>
          </w:p>
        </w:tc>
        <w:tc>
          <w:tcPr>
            <w:tcW w:type="dxa" w:w="9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24–36 mois</w:t>
            </w:r>
          </w:p>
        </w:tc>
        <w:tc>
          <w:tcPr>
            <w:tcW w:type="dxa" w:w="11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Très élevé</w:t>
            </w:r>
          </w:p>
        </w:tc>
        <w:tc>
          <w:tcPr>
            <w:tcW w:type="dxa" w:w="17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+$10M–$20M/an</w:t>
            </w:r>
          </w:p>
        </w:tc>
        <w:tc>
          <w:tcPr>
            <w:tcW w:type="dxa" w:w="21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Infrastructure LLM sécurisée</w:t>
            </w:r>
          </w:p>
        </w:tc>
      </w:tr>
      <w:tr>
        <w:tc>
          <w:tcPr>
            <w:tcW w:type="dxa" w:w="2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Reinforcement Learning pricing adaptatif</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Futur</w:t>
            </w:r>
          </w:p>
        </w:tc>
        <w:tc>
          <w:tcPr>
            <w:tcW w:type="dxa" w:w="9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36–48 mois</w:t>
            </w:r>
          </w:p>
        </w:tc>
        <w:tc>
          <w:tcPr>
            <w:tcW w:type="dxa" w:w="11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Très élevé</w:t>
            </w:r>
          </w:p>
        </w:tc>
        <w:tc>
          <w:tcPr>
            <w:tcW w:type="dxa" w:w="17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Potentiel maximal long terme</w:t>
            </w:r>
          </w:p>
        </w:tc>
        <w:tc>
          <w:tcPr>
            <w:tcW w:type="dxa" w:w="21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Tous les modèles précédents</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Recommandation stratégique : Lancer immédiatement 3 quick wins en parallèle (sous-tarification, governance pricing, dashboard RAROC simplifié) pour démontrer la valeur de l'analytique en moins de 6 mois, tout en construisant les fondations des initiatives transformationnelles (pipeline de données, modèle d'élasticité, FTP uniforme).</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08  </w:t>
      </w:r>
      <w:r>
        <w:rPr>
          <w:rFonts w:ascii="Arial" w:cs="Arial" w:eastAsia="Arial" w:hAnsi="Arial"/>
          <w:b/>
          <w:bCs/>
          <w:color w:val="FFFFFF"/>
          <w:sz w:val="36"/>
          <w:szCs w:val="36"/>
        </w:rPr>
        <w:t xml:space="preserve">ROADMAP ANALYTIQUE DE MATURITÉ</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2960"/>
        <w:gridCol w:w="3000"/>
      </w:tblGrid>
      <w:tr>
        <w:trPr>
          <w:tblHeader/>
        </w:trPr>
        <w:tc>
          <w:tcPr>
            <w:tcW w:type="dxa" w:w="1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w:t>
            </w:r>
          </w:p>
        </w:tc>
        <w:tc>
          <w:tcPr>
            <w:tcW w:type="dxa" w:w="10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Période</w:t>
            </w:r>
          </w:p>
        </w:tc>
        <w:tc>
          <w:tcPr>
            <w:tcW w:type="dxa" w:w="1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Maturité</w:t>
            </w:r>
          </w:p>
        </w:tc>
        <w:tc>
          <w:tcPr>
            <w:tcW w:type="dxa" w:w="29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Initiatives clés</w:t>
            </w:r>
          </w:p>
        </w:tc>
        <w:tc>
          <w:tcPr>
            <w:tcW w:type="dxa" w:w="30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Livrables cibles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1
Fondations</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0–6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1 : Descriptif</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Audit données pricing
• Gouvernance concessions
• Dashboard sous-tarification
• Rapport RAROC simplifié
• Benchmarking structuré</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Rapport anomalies pricing
• Matrice autorisation concessions
• Dashboard DC mensuel</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2
Analytique</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6–18 mois</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Niveau 2 : Diagnostique</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Modèle d'élasticité MVP
• Churn model V1
• FTP uniformisé PVP
• Score NBO externe V1
• Pipeline données structuré</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Scoring élasticité par client
• Alertes churn CRM
• Taux FTP harmonisés
• Premiers scores concurrentiels</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3
Prédictif</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18–30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3 : Prédictif</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Pricing Advisor CRM
• Prédiction acceptation offre
• Score NBO externe V2 (12 produits)
• Modèle RAROC temps réel
• Segmentation micro avancée</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Outil pricing DC intégré CRM
• Probabilité acceptation live
• Score concurrent full coverage
• Tableau RAROC interactif</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Phase 4
Optimisation</w:t>
            </w:r>
          </w:p>
        </w:tc>
        <w:tc>
          <w:tcPr>
            <w:tcW w:type="dxa" w:w="1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30–42 mois</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Niveau 4 : Prescriptif</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Copilote IA négociation
• NBO pricing dynamique
• Optimisation portefeuille capital
• Causal inference (A/B tests)
• Simulation Monte Carlo pricing</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Copilote déployé (pilote DCs)
• Moteur NBO temps réel
• Allocation capital optimisée
• Framework d'expérimentation</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Phase 5
Intelligence</w:t>
            </w:r>
          </w:p>
        </w:tc>
        <w:tc>
          <w:tcPr>
            <w:tcW w:type="dxa" w:w="1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42+ mois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Niveau 5 : Autonome</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Reinforcement Learning pricing
• Pricing entièrement personnalisé
• IA générative multi-modal
• Écosystème données ouvert
• Pricing prédictif anticipatoire</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Plateforme pricing IA autonome
• Personnalisation 1-to-1
• Avantage concurrentiel durable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8.1  Facteurs organisationnels critiques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Facteur</w:t>
            </w:r>
          </w:p>
        </w:tc>
        <w:tc>
          <w:tcPr>
            <w:tcW w:type="dxa" w:w="45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6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Risque si absent</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Sponsorship exécutif</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Engagement de la direction PVP sur la transformation analytique pricing</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Manque de ressources, initiatives abandonnées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Ownership métier des modèles</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Les directeurs de comptes et leurs gestionnaires doivent s'approprier les outils</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Adoption nulle — les modèles restent dans les laptops des data scientists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Qualité des données</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Données de taux, de profitabilité et de risque fiables et complètes</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biaisés, recommandations erronées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FTP uniforme</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Sans FTP bien calibré, le RAROC client ne peut être calculé correctement</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Décisions basées sur des marges fictives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Culture data-driven</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Les concessions doivent être documentées et justifiées analytiquement</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Retour aux pratiques intuitives malgré les outils</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Gouvernance des modèles</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Validation, monitoring, réentraînement régulier des modèles</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Dérive des modèles, décisions incorrectes dans le temps</w:t>
            </w:r>
          </w:p>
        </w:tc>
      </w:tr>
      <w:tr>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Équipe pluridisciplinaire</w:t>
            </w:r>
          </w:p>
        </w:tc>
        <w:tc>
          <w:tcPr>
            <w:tcW w:type="dxa" w:w="4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scientists + experts crédit + directeurs de comptes + conformité</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académiquement beaux mais inutilisables en pratique</w:t>
            </w:r>
          </w:p>
        </w:tc>
      </w:tr>
      <w:tr>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Conformité intégrée dès le début</w:t>
            </w:r>
          </w:p>
        </w:tc>
        <w:tc>
          <w:tcPr>
            <w:tcW w:type="dxa" w:w="4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Revue Loi 25, LPCR, règles BSIF intégrées dès la conception</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Blocage en phase de déploiement, retravail coûteux</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09  </w:t>
      </w:r>
      <w:r>
        <w:rPr>
          <w:rFonts w:ascii="Arial" w:cs="Arial" w:eastAsia="Arial" w:hAnsi="Arial"/>
          <w:b/>
          <w:bCs/>
          <w:color w:val="FFFFFF"/>
          <w:sz w:val="36"/>
          <w:szCs w:val="36"/>
        </w:rPr>
        <w:t xml:space="preserve">BENCHMARKING : BANQUES MONDIALES AVANCÉES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360"/>
        <w:gridCol w:w="3200"/>
      </w:tblGrid>
      <w:tr>
        <w:trPr>
          <w:tblHeader/>
        </w:trPr>
        <w:tc>
          <w:tcPr>
            <w:tcW w:type="dxa" w:w="16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Institution</w:t>
            </w:r>
          </w:p>
        </w:tc>
        <w:tc>
          <w:tcPr>
            <w:tcW w:type="dxa" w:w="1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Maturité pricing</w:t>
            </w:r>
          </w:p>
        </w:tc>
        <w:tc>
          <w:tcPr>
            <w:tcW w:type="dxa" w:w="33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Innovations clés</w:t>
            </w:r>
          </w:p>
        </w:tc>
        <w:tc>
          <w:tcPr>
            <w:tcW w:type="dxa" w:w="32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Leçons pour Desjardins</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JPMorgan Chase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Leader mondial</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RAROC temps réel par client
• IA générative pour structuration (LLM propriétaire)
• Optimisation portfolio-level pricing
• Dynamic pricing FX alimenté par ML
• Centre d'excellence pricing dédié (200+ personnes)</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Investissement massif en infra data est un pré-requis. Le pricing ML ne fonctionne qu'avec des données client complètes et intégrées.</w:t>
            </w:r>
          </w:p>
        </w:tc>
      </w:tr>
      <w:tr>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Capital One (Commercial)</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Leader ML/IA</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Entreprise entièrement 'data-native' depuis 2012
• A/B testing systématique de tous les prix
• Elasticity modeling en production
• Reinforcement Learning pour offres de rétention
• ML Ops mature (déploiement continu des modèles)</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L'A/B testing est la clé : sans expérimentation contrôlée, on ne mesure pas l'impact réel du pricing. Desjardins devrait lancer un programme d'expérimentation pricing dès Phase 2.</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Goldman Sachs (Marcus/TxB)</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Leader structuré</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Pricing dynamique pour dépôts entreprises
• Segmentation ultra-fine par comportement
• Plateforme API banking avec pricing automatisé
• Transaction Banking (TxB) : pricing fees automatisé
• RAROC intégré dans la plateforme de vente</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 transparence du pricing (offrir aux clients une vue de leur pricing) crée une différenciation. Marcus a gagné des parts de marché avec le pricing dynamique des dépôts.</w:t>
            </w:r>
          </w:p>
        </w:tc>
      </w:tr>
      <w:tr>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RBC (Canada)</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Leader canadien</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Outil RAROC client intégré aux DCs
• Pricing recommandé par ML dans myAdvisor Business
• Intelligence concurrentielle structurée
• Gouvernance pricing très mature (comités régionaux)
• Churn model opérationnel en Commercial Banking</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RBC est le benchmark canadien direct. Leur outil de pricing recommandé pour les DCs commerciaux a réduit les concessions de 18 % et augmenté le taux de conversion de 12 % (estimations sectorielles).</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TD (Canada)</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Avancé</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Pricing dynamique des dépôts (compétitif sur les GIC)
• Segmentation PME améliorée
• Investissements en analytics post-acquisition Cowen
• Pricing fees automatisé en Commercial Banking</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TD montre qu'on peut avancer rapidement sur le pricing des dépôts sans attendre la maturité complète sur le crédit.</w:t>
            </w:r>
          </w:p>
        </w:tc>
      </w:tr>
      <w:tr>
        <w:tc>
          <w:tcPr>
            <w:tcW w:type="dxa" w:w="1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BBVA (Espagne/Global)</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Leader IA Europe</w:t>
            </w:r>
          </w:p>
        </w:tc>
        <w:tc>
          <w:tcPr>
            <w:tcW w:type="dxa" w:w="33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Pricing personnalisé 1-to-1 pour 10M+ clients entreprises
• IA générative pour scoring et pricing en temps réel
• Open banking data pour enrichir les modèles de risque
• Pricing dynamique complet sur tous les produits
• Centre d'IA en Espagne + Mexico (500+ data scientists)</w:t>
            </w:r>
          </w:p>
        </w:tc>
        <w:tc>
          <w:tcPr>
            <w:tcW w:type="dxa" w:w="3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BBVA prouve que même une banque non-américaine peut atteindre la frontière technologique avec les bons investissements et une vision long terme. Modèle organisationnel inspirant.</w:t>
            </w:r>
          </w:p>
        </w:tc>
      </w:tr>
      <w:tr>
        <w:tc>
          <w:tcPr>
            <w:tcW w:type="dxa" w:w="1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ING (Pays-Bas)</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Leader Europe Nord</w:t>
            </w:r>
          </w:p>
        </w:tc>
        <w:tc>
          <w:tcPr>
            <w:tcW w:type="dxa" w:w="33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ING Labs : incubateur de cas d'usage pricing IA
• Pricing en temps réel sur les crédits PME (5 min. décision)
• Modèles NLP pour analyse de demandes de crédit
• Open data pour enrichissement modèles
• Challenger bank architecture : cloud-native data</w:t>
            </w:r>
          </w:p>
        </w:tc>
        <w:tc>
          <w:tcPr>
            <w:tcW w:type="dxa" w:w="3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ING démontre que la rapidité de décision de crédit (5 min) est elle-même un levier tarifaire : les clients acceptent un spread légèrement supérieur en échange de la rapidité. Speed-to-market = valeur client.</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bCs/>
                <w:color w:val="8B6914"/>
                <w:sz w:val="20"/>
                <w:szCs w:val="20"/>
              </w:rPr>
              <w:t xml:space="preserve">Positionnement Desjardins : Dans ce benchmark, Desjardins se situe actuellement entre ★★☆☆☆ et ★★★☆☆ selon les dimensions. Le potentiel de progression est immense. La nature coopérative de Desjardins est un atout différenciateur si bien communiquée : les membres comprennent que la tarification sert la collectivité, pas les actionnaires.</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10  </w:t>
      </w:r>
      <w:r>
        <w:rPr>
          <w:rFonts w:ascii="Arial" w:cs="Arial" w:eastAsia="Arial" w:hAnsi="Arial"/>
          <w:b/>
          <w:bCs/>
          <w:color w:val="FFFFFF"/>
          <w:sz w:val="36"/>
          <w:szCs w:val="36"/>
        </w:rPr>
        <w:t xml:space="preserve">IDÉES CONCRÈTES D'AMÉLIORATION</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10.1  Améliorer le ratio risque/rendement</w:t>
      </w:r>
    </w:p>
    <w:p>
      <w:pPr>
        <w:pStyle w:val="ListParagraph"/>
        <w:numPr>
          <w:ilvl w:val="0"/>
          <w:numId w:val="2"/>
        </w:numPr>
        <w:spacing w:after="60" w:before="60"/>
      </w:pPr>
      <w:r>
        <w:rPr>
          <w:rFonts w:ascii="Arial" w:cs="Arial" w:eastAsia="Arial" w:hAnsi="Arial"/>
          <w:b/>
          <w:bCs/>
          <w:color w:val="404040"/>
          <w:sz w:val="20"/>
          <w:szCs w:val="20"/>
        </w:rPr>
        <w:t xml:space="preserve">Implanter un plancher RAROC strict : aucune transaction signée sous le seuil de 12 % RAROC sans approbation comité</w:t>
      </w:r>
    </w:p>
    <w:p>
      <w:pPr>
        <w:pStyle w:val="ListParagraph"/>
        <w:numPr>
          <w:ilvl w:val="0"/>
          <w:numId w:val="2"/>
        </w:numPr>
        <w:spacing w:after="60" w:before="60"/>
      </w:pPr>
      <w:r>
        <w:rPr>
          <w:rFonts w:ascii="Arial" w:cs="Arial" w:eastAsia="Arial" w:hAnsi="Arial"/>
          <w:b w:val="false"/>
          <w:bCs w:val="false"/>
          <w:color w:val="404040"/>
          <w:sz w:val="20"/>
          <w:szCs w:val="20"/>
        </w:rPr>
        <w:t xml:space="preserve">Développer un modèle de LGD dynamique : réviser régulièrement les estimations de perte en cas de défaut selon l'évolution des sûretés et du marché immobilier</w:t>
      </w:r>
    </w:p>
    <w:p>
      <w:pPr>
        <w:pStyle w:val="ListParagraph"/>
        <w:numPr>
          <w:ilvl w:val="0"/>
          <w:numId w:val="2"/>
        </w:numPr>
        <w:spacing w:after="60" w:before="60"/>
      </w:pPr>
      <w:r>
        <w:rPr>
          <w:rFonts w:ascii="Arial" w:cs="Arial" w:eastAsia="Arial" w:hAnsi="Arial"/>
          <w:b w:val="false"/>
          <w:bCs w:val="false"/>
          <w:color w:val="404040"/>
          <w:sz w:val="20"/>
          <w:szCs w:val="20"/>
        </w:rPr>
        <w:t xml:space="preserve">Créer un portefeuille « revue tarifaire systématique » : chaque facilité de crédit de plus de 3 ans sans révision est automatiquement signalée</w:t>
      </w:r>
    </w:p>
    <w:p>
      <w:pPr>
        <w:pStyle w:val="ListParagraph"/>
        <w:numPr>
          <w:ilvl w:val="0"/>
          <w:numId w:val="2"/>
        </w:numPr>
        <w:spacing w:after="60" w:before="60"/>
      </w:pPr>
      <w:r>
        <w:rPr>
          <w:rFonts w:ascii="Arial" w:cs="Arial" w:eastAsia="Arial" w:hAnsi="Arial"/>
          <w:b w:val="false"/>
          <w:bCs w:val="false"/>
          <w:color w:val="404040"/>
          <w:sz w:val="20"/>
          <w:szCs w:val="20"/>
        </w:rPr>
        <w:t xml:space="preserve">Implanter le pricing de la convexité des marges de crédit : tarifer différemment les facilités très peu utilisées vs celles utilisées à 80 %+ (comportement client différent)</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10.2  Augmenter les revenus</w:t>
      </w:r>
    </w:p>
    <w:p>
      <w:pPr>
        <w:pStyle w:val="ListParagraph"/>
        <w:numPr>
          <w:ilvl w:val="0"/>
          <w:numId w:val="2"/>
        </w:numPr>
        <w:spacing w:after="60" w:before="60"/>
      </w:pPr>
      <w:r>
        <w:rPr>
          <w:rFonts w:ascii="Arial" w:cs="Arial" w:eastAsia="Arial" w:hAnsi="Arial"/>
          <w:b/>
          <w:bCs/>
          <w:color w:val="404040"/>
          <w:sz w:val="20"/>
          <w:szCs w:val="20"/>
        </w:rPr>
        <w:t xml:space="preserve">Programme de monétisation des fees sous-exploités : audit systématique des services gratuits non justifiés par la relation (ex: virements SWIFT sans frais, comptes sans frais de tenue)</w:t>
      </w:r>
    </w:p>
    <w:p>
      <w:pPr>
        <w:pStyle w:val="ListParagraph"/>
        <w:numPr>
          <w:ilvl w:val="0"/>
          <w:numId w:val="2"/>
        </w:numPr>
        <w:spacing w:after="60" w:before="60"/>
      </w:pPr>
      <w:r>
        <w:rPr>
          <w:rFonts w:ascii="Arial" w:cs="Arial" w:eastAsia="Arial" w:hAnsi="Arial"/>
          <w:b w:val="false"/>
          <w:bCs w:val="false"/>
          <w:color w:val="404040"/>
          <w:sz w:val="20"/>
          <w:szCs w:val="20"/>
        </w:rPr>
        <w:t xml:space="preserve">Offre de hedging proactive : identifier les entreprises exposées aux risques de change (imports/exports) et proposer des solutions de couverture avant qu'elles ne cherchent ailleurs</w:t>
      </w:r>
    </w:p>
    <w:p>
      <w:pPr>
        <w:pStyle w:val="ListParagraph"/>
        <w:numPr>
          <w:ilvl w:val="0"/>
          <w:numId w:val="2"/>
        </w:numPr>
        <w:spacing w:after="60" w:before="60"/>
      </w:pPr>
      <w:r>
        <w:rPr>
          <w:rFonts w:ascii="Arial" w:cs="Arial" w:eastAsia="Arial" w:hAnsi="Arial"/>
          <w:b w:val="false"/>
          <w:bCs w:val="false"/>
          <w:color w:val="404040"/>
          <w:sz w:val="20"/>
          <w:szCs w:val="20"/>
        </w:rPr>
        <w:t xml:space="preserve">Tarification différentielle de la vitesse de service : offrir des services premium (décision crédit en 24h, service dédié) à tarif supérieur — ING l'a démontré avec succès</w:t>
      </w:r>
    </w:p>
    <w:p>
      <w:pPr>
        <w:pStyle w:val="ListParagraph"/>
        <w:numPr>
          <w:ilvl w:val="0"/>
          <w:numId w:val="2"/>
        </w:numPr>
        <w:spacing w:after="60" w:before="60"/>
      </w:pPr>
      <w:r>
        <w:rPr>
          <w:rFonts w:ascii="Arial" w:cs="Arial" w:eastAsia="Arial" w:hAnsi="Arial"/>
          <w:b w:val="false"/>
          <w:bCs w:val="false"/>
          <w:color w:val="404040"/>
          <w:sz w:val="20"/>
          <w:szCs w:val="20"/>
        </w:rPr>
        <w:t xml:space="preserve">Cross-sell analytique déclenché par événements : financement d'équipement après détection d'un achat d'actifs; ligne de crédit après détection d'une expansion géographique</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10.3  Améliorer l'expérience membre</w:t>
      </w:r>
    </w:p>
    <w:p>
      <w:pPr>
        <w:pStyle w:val="ListParagraph"/>
        <w:numPr>
          <w:ilvl w:val="0"/>
          <w:numId w:val="2"/>
        </w:numPr>
        <w:spacing w:after="60" w:before="60"/>
      </w:pPr>
      <w:r>
        <w:rPr>
          <w:rFonts w:ascii="Arial" w:cs="Arial" w:eastAsia="Arial" w:hAnsi="Arial"/>
          <w:b/>
          <w:bCs/>
          <w:color w:val="404040"/>
          <w:sz w:val="20"/>
          <w:szCs w:val="20"/>
        </w:rPr>
        <w:t xml:space="preserve">Transparence tarifaire : offrir aux membres un tableau de bord de leur relation Desjardins (produits, taux, économies vs alternatives) — différenciation coopérative forte</w:t>
      </w:r>
    </w:p>
    <w:p>
      <w:pPr>
        <w:pStyle w:val="ListParagraph"/>
        <w:numPr>
          <w:ilvl w:val="0"/>
          <w:numId w:val="2"/>
        </w:numPr>
        <w:spacing w:after="60" w:before="60"/>
      </w:pPr>
      <w:r>
        <w:rPr>
          <w:rFonts w:ascii="Arial" w:cs="Arial" w:eastAsia="Arial" w:hAnsi="Arial"/>
          <w:b w:val="false"/>
          <w:bCs w:val="false"/>
          <w:color w:val="404040"/>
          <w:sz w:val="20"/>
          <w:szCs w:val="20"/>
        </w:rPr>
        <w:t xml:space="preserve">Pricing expliqué : accompagner chaque offre d'une explication claire de la décomposition du taux (risque, marché, relation) — réduit la perception d'arbitraire</w:t>
      </w:r>
    </w:p>
    <w:p>
      <w:pPr>
        <w:pStyle w:val="ListParagraph"/>
        <w:numPr>
          <w:ilvl w:val="0"/>
          <w:numId w:val="2"/>
        </w:numPr>
        <w:spacing w:after="60" w:before="60"/>
      </w:pPr>
      <w:r>
        <w:rPr>
          <w:rFonts w:ascii="Arial" w:cs="Arial" w:eastAsia="Arial" w:hAnsi="Arial"/>
          <w:b w:val="false"/>
          <w:bCs w:val="false"/>
          <w:color w:val="404040"/>
          <w:sz w:val="20"/>
          <w:szCs w:val="20"/>
        </w:rPr>
        <w:t xml:space="preserve">Délai de décision garanti : s'engager sur des SLA de décision de crédit (24h pour les renouvellements, 5 jours pour les nouvelles demandes) — ING a capturé 15 % de parts de marché PME avec cette promesse</w:t>
      </w:r>
    </w:p>
    <w:p>
      <w:pPr>
        <w:pStyle w:val="ListParagraph"/>
        <w:numPr>
          <w:ilvl w:val="0"/>
          <w:numId w:val="2"/>
        </w:numPr>
        <w:spacing w:after="60" w:before="60"/>
      </w:pPr>
      <w:r>
        <w:rPr>
          <w:rFonts w:ascii="Arial" w:cs="Arial" w:eastAsia="Arial" w:hAnsi="Arial"/>
          <w:b w:val="false"/>
          <w:bCs w:val="false"/>
          <w:color w:val="404040"/>
          <w:sz w:val="20"/>
          <w:szCs w:val="20"/>
        </w:rPr>
        <w:t xml:space="preserve">Programme de fidélité pricing : récompenser explicitement la profondeur de relation par des avantages tarifaires visibles et communiqués</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10.4  Augmenter le share of wallet</w:t>
      </w:r>
    </w:p>
    <w:p>
      <w:pPr>
        <w:pStyle w:val="ListParagraph"/>
        <w:numPr>
          <w:ilvl w:val="0"/>
          <w:numId w:val="2"/>
        </w:numPr>
        <w:spacing w:after="60" w:before="60"/>
      </w:pPr>
      <w:r>
        <w:rPr>
          <w:rFonts w:ascii="Arial" w:cs="Arial" w:eastAsia="Arial" w:hAnsi="Arial"/>
          <w:b/>
          <w:bCs/>
          <w:color w:val="404040"/>
          <w:sz w:val="20"/>
          <w:szCs w:val="20"/>
        </w:rPr>
        <w:t xml:space="preserve">Bundle tarifaire multi-produit : créer des offres 'tout-en-un' (crédit + dépôts + paie + FX) avec un taux global avantageux vs les produits individuels</w:t>
      </w:r>
    </w:p>
    <w:p>
      <w:pPr>
        <w:pStyle w:val="ListParagraph"/>
        <w:numPr>
          <w:ilvl w:val="0"/>
          <w:numId w:val="2"/>
        </w:numPr>
        <w:spacing w:after="60" w:before="60"/>
      </w:pPr>
      <w:r>
        <w:rPr>
          <w:rFonts w:ascii="Arial" w:cs="Arial" w:eastAsia="Arial" w:hAnsi="Arial"/>
          <w:b w:val="false"/>
          <w:bCs w:val="false"/>
          <w:color w:val="404040"/>
          <w:sz w:val="20"/>
          <w:szCs w:val="20"/>
        </w:rPr>
        <w:t xml:space="preserve">Stratégie de portefeuille concentrée : identifier les 20 % de clients générant 80 % du potentiel non-capturé et déployer des ressources dédiées (senior DC, offres personnalisées)</w:t>
      </w:r>
    </w:p>
    <w:p>
      <w:pPr>
        <w:pStyle w:val="ListParagraph"/>
        <w:numPr>
          <w:ilvl w:val="0"/>
          <w:numId w:val="2"/>
        </w:numPr>
        <w:spacing w:after="60" w:before="60"/>
      </w:pPr>
      <w:r>
        <w:rPr>
          <w:rFonts w:ascii="Arial" w:cs="Arial" w:eastAsia="Arial" w:hAnsi="Arial"/>
          <w:b w:val="false"/>
          <w:bCs w:val="false"/>
          <w:color w:val="404040"/>
          <w:sz w:val="20"/>
          <w:szCs w:val="20"/>
        </w:rPr>
        <w:t xml:space="preserve">Score de potentiel futur : intégrer dans le pricing la valeur vie estimée du client (phase de croissance, secteur en expansion, gouvernement) pour justifier des investissements tarifaires</w:t>
      </w:r>
    </w:p>
    <w:p>
      <w:pPr>
        <w:spacing w:before="15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10.5  Réduire les concessions tarifaires non justifiées</w:t>
      </w:r>
    </w:p>
    <w:p>
      <w:pPr>
        <w:pStyle w:val="ListParagraph"/>
        <w:numPr>
          <w:ilvl w:val="0"/>
          <w:numId w:val="2"/>
        </w:numPr>
        <w:spacing w:after="60" w:before="60"/>
      </w:pPr>
      <w:r>
        <w:rPr>
          <w:rFonts w:ascii="Arial" w:cs="Arial" w:eastAsia="Arial" w:hAnsi="Arial"/>
          <w:b/>
          <w:bCs/>
          <w:color w:val="404040"/>
          <w:sz w:val="20"/>
          <w:szCs w:val="20"/>
        </w:rPr>
        <w:t xml:space="preserve">Matrice d'autorisation granulaire : définir des seuils de concession par produit, par taille de client, et par niveau hiérarchique — rendre visible ce qui était invisible</w:t>
      </w:r>
    </w:p>
    <w:p>
      <w:pPr>
        <w:pStyle w:val="ListParagraph"/>
        <w:numPr>
          <w:ilvl w:val="0"/>
          <w:numId w:val="2"/>
        </w:numPr>
        <w:spacing w:after="60" w:before="60"/>
      </w:pPr>
      <w:r>
        <w:rPr>
          <w:rFonts w:ascii="Arial" w:cs="Arial" w:eastAsia="Arial" w:hAnsi="Arial"/>
          <w:b w:val="false"/>
          <w:bCs w:val="false"/>
          <w:color w:val="404040"/>
          <w:sz w:val="20"/>
          <w:szCs w:val="20"/>
        </w:rPr>
        <w:t xml:space="preserve">Audit trimestriel des concessions : rapport automatisé de toutes les concessions accordées vs la justification documentée, présenté au comité de direction</w:t>
      </w:r>
    </w:p>
    <w:p>
      <w:pPr>
        <w:pStyle w:val="ListParagraph"/>
        <w:numPr>
          <w:ilvl w:val="0"/>
          <w:numId w:val="2"/>
        </w:numPr>
        <w:spacing w:after="60" w:before="60"/>
      </w:pPr>
      <w:r>
        <w:rPr>
          <w:rFonts w:ascii="Arial" w:cs="Arial" w:eastAsia="Arial" w:hAnsi="Arial"/>
          <w:b w:val="false"/>
          <w:bCs w:val="false"/>
          <w:color w:val="404040"/>
          <w:sz w:val="20"/>
          <w:szCs w:val="20"/>
        </w:rPr>
        <w:t xml:space="preserve">Incentive design des DCs : revoir les métriques de performance des directeurs de comptes pour inclure le RAROC moyen signé (et pas seulement le volume d'affaires nouvelles)</w:t>
      </w:r>
    </w:p>
    <w:p>
      <w:pPr>
        <w:pStyle w:val="ListParagraph"/>
        <w:numPr>
          <w:ilvl w:val="0"/>
          <w:numId w:val="2"/>
        </w:numPr>
        <w:spacing w:after="60" w:before="60"/>
      </w:pPr>
      <w:r>
        <w:rPr>
          <w:rFonts w:ascii="Arial" w:cs="Arial" w:eastAsia="Arial" w:hAnsi="Arial"/>
          <w:b w:val="false"/>
          <w:bCs w:val="false"/>
          <w:color w:val="404040"/>
          <w:sz w:val="20"/>
          <w:szCs w:val="20"/>
        </w:rPr>
        <w:t xml:space="preserve">Délai de réflexion forcé : pour toute concession supérieure à X pb, imposer un délai de 24h et une consultation avec le gestionnaire — réduit les décisions impulsives sous pression client</w:t>
      </w:r>
    </w:p>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11  </w:t>
      </w:r>
      <w:r>
        <w:rPr>
          <w:rFonts w:ascii="Arial" w:cs="Arial" w:eastAsia="Arial" w:hAnsi="Arial"/>
          <w:b/>
          <w:bCs/>
          <w:color w:val="FFFFFF"/>
          <w:sz w:val="36"/>
          <w:szCs w:val="36"/>
        </w:rPr>
        <w:t xml:space="preserve">CONTRAINTES RÉGLEMENTAIRES &amp; ENJEUX ÉTHIQUES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Enjeu</w:t>
            </w:r>
          </w:p>
        </w:tc>
        <w:tc>
          <w:tcPr>
            <w:tcW w:type="dxa" w:w="24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40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Impact sur pricing analytique</w:t>
            </w:r>
          </w:p>
        </w:tc>
        <w:tc>
          <w:tcPr>
            <w:tcW w:type="dxa" w:w="2760"/>
            <w:tcBorders>
              <w:top w:val="single" w:color="004D33" w:sz="6"/>
              <w:left w:val="single" w:color="004D33" w:sz="6"/>
              <w:bottom w:val="single" w:color="004D33" w:sz="6"/>
              <w:right w:val="single" w:color="004D33" w:sz="6"/>
            </w:tcBorders>
            <w:shd w:fill="C000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Mesures de mitigation</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Loi 25 (Québec)
(Vie privée)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Consentement explicite pour l'utilisation des données personnelles à des fins de profilage commercial. Droit à l'information, à la rectification, à l'oubli.</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Limite l'utilisation des données AccèsD Affaires pour le profilage concurrentiel (mandat NBO). Toute utilisation pour tarification personnalisée doit être justifiée et consentie.</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PIA (Privacy Impact Assessment) obligatoire. Anonymisation/pseudonymisation. Revue conformité avant tout déploiement modèle pricing.</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LPCR / BSIF
(Bâle III/IV)</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Exigences de capital basées sur les RWA. Contraintes de liquidité (LCR, NSFR). Validation des modèles internes de risque (IRB approach).</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Les modèles de RAROC doivent être cohérents avec les modèles réglementaires validés. Le capital réglementaire doit être respecté comme plancher absolu.</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Alignement des modèles de pricing avec les modèles IRB validés par le BSIF. Documentation complète des modèles.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Loi sur la concurrence
(Canada)</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Interdiction de pratiques anticoncurrentielles, de prix prédateurs, et de discrimination tarifaire injustifiée.</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 tarification basée sur des signaux concurrentiels (intel compétitif) doit éviter tout accord de prix ou signal coordination avec des concurrents.</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Ne jamais utiliser des données partagées avec des concurrents. Pricing individuel basé sur le risque, non sur la nationalité ou d'autres critères protégés.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Loi canadienne sur les
droits de la personne</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Interdiction de discrimination basée sur l'origine ethnique, le sexe, la religion, etc. dans la fourniture de services.</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Un modèle de pricing qui utilise des proxies corrélés à des groupes protégés (code postal, type de nom d'entreprise) peut créer une discrimination indirecte.</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Audit de biais (fairness testing) obligatoire sur tous les modèles de pricing. Revue de l'impact différentiel par sous-groupes.</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RPVP
(Fédéral - Loi C-27)</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Modernisation de la LPRPDE : nouvelles obligations de transparence algorithmique, droit à l'explication des décisions automatisées significatives.</w:t>
            </w:r>
          </w:p>
        </w:tc>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Toute décision de crédit ou d'offre tarifaire basée sur un modèle ML peut être soumise au droit à l'explication. L'explainability (SHAP, LIME) devient une obligation légale.</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Implanter SHAP sur tous les modèles de décision. Documenter le 'droit à l'explication' dans les processus. Former les DCs à expliquer les recommandations.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Directives AMF
(Québec)</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Encadrement des pratiques de vente et de conseil pour les produits financiers. Principe du 'meilleur intérêt du client'.</w:t>
            </w:r>
          </w:p>
        </w:tc>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Le pricing personnalisé ne peut pas être conçu pour maximiser la marge au détriment de l'intérêt du membre (principe coopératif Desjardins en sus).</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Aligner les pratiques de pricing sur les principes coopératifs Desjardins. Documenter que le pricing reflète la valeur réelle et non une exploitation de l'information asymétrique.</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11.1  Les pièges fréquents des modèles de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Piège</w:t>
            </w:r>
          </w:p>
        </w:tc>
        <w:tc>
          <w:tcPr>
            <w:tcW w:type="dxa" w:w="22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20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Conséquence</w:t>
            </w:r>
          </w:p>
        </w:tc>
        <w:tc>
          <w:tcPr>
            <w:tcW w:type="dxa" w:w="2960"/>
            <w:tcBorders>
              <w:top w:val="single" w:color="004D33" w:sz="6"/>
              <w:left w:val="single" w:color="004D33" w:sz="6"/>
              <w:bottom w:val="single" w:color="004D33" w:sz="6"/>
              <w:right w:val="single" w:color="004D33" w:sz="6"/>
            </w:tcBorders>
            <w:shd w:fill="C55A11"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Solution</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Surapprentissage (overfitting)</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trop ajusté aux données historiques, capte le bruit plutôt que le signal</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Recommandations erronées en production</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Validation hors-échantillon, régularisation, backtesting sur données récentes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Fuite d'information (data leakage)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 cible utilisée comme feature, ou données futures dans l'entraînement</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 artificielle, modèle inutilisable en temps réel</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Validation croisée temporelle obligatoire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Biais de confirmation</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construit pour confirmer les intuitions existantes des directeurs de comptes</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Reproduit les biais humains à grande échelle</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Audit indépendant, tests de falsifiabilité</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Discrimination algorithmique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Variables corrélées à des groupes protégés créent une discrimination indirecte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Risque légal, reputationnel, rejet régulateur</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Fairness testing systématique (disparate impact)</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Stationnarité</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entraîné dans un régime de taux bas inutilisable dans un régime de taux élevés (comme 2022–2024)</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Décisions basées sur des patterns périmés</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Réentraînement régulier, monitoring de drift (PSI)</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Causalité vs corrélation</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Modèle confond correlation et causalité → la hausse du taux 'cause' l'attrition selon le modèle alors qu'une variable confondante explique les deux</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Mauvaises décisions de pricing</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Causal inference, expérimentation contrôlée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Sur-confiance dans le modèle</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Les directeurs de comptes suivent aveuglément les recommandations du modèle sans jugement</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Perte de nuance, erreurs sur cas atypiques</w:t>
            </w:r>
          </w:p>
        </w:tc>
        <w:tc>
          <w:tcPr>
            <w:tcW w:type="dxa" w:w="2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 conseil, DC = décideur. Former à l'interprétation.</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Sous-estimer le changement organisationnel</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Excellent modèle technique mais aucune adoption par les équipes terrain</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ROI nul malgré l'investissement</w:t>
            </w:r>
          </w:p>
        </w:tc>
        <w:tc>
          <w:tcPr>
            <w:tcW w:type="dxa" w:w="2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Co-développement avec les utilisateurs, formation, incentives alignés</w:t>
            </w:r>
          </w:p>
        </w:tc>
      </w:tr>
    </w:tbl>
    <w:p>
      <w:pPr>
        <w:spacing w:after="0" w:before="0"/>
      </w:pPr>
      <w:r>
        <w:br w:type="page"/>
      </w:r>
    </w:p>
    <w:p>
      <w:pPr>
        <w:spacing w:before="300"/>
      </w:pPr>
      <w:r>
        <w:t xml:space="preserve"/>
      </w:r>
    </w:p>
    <w:p>
      <w:pPr>
        <w:shd w:fill="004D33" w:val="clear"/>
        <w:spacing w:after="200" w:before="200"/>
        <w:ind w:left="200" w:right="200"/>
      </w:pPr>
      <w:r>
        <w:rPr>
          <w:rFonts w:ascii="Arial" w:cs="Arial" w:eastAsia="Arial" w:hAnsi="Arial"/>
          <w:b/>
          <w:bCs/>
          <w:color w:val="E8F5EF"/>
          <w:sz w:val="36"/>
          <w:szCs w:val="36"/>
        </w:rPr>
        <w:t xml:space="preserve">12  </w:t>
      </w:r>
      <w:r>
        <w:rPr>
          <w:rFonts w:ascii="Arial" w:cs="Arial" w:eastAsia="Arial" w:hAnsi="Arial"/>
          <w:b/>
          <w:bCs/>
          <w:color w:val="FFFFFF"/>
          <w:sz w:val="36"/>
          <w:szCs w:val="36"/>
        </w:rPr>
        <w:t xml:space="preserve">ARCHITECTURE CIBLE &amp; PRIORISATION</w:t>
      </w:r>
    </w:p>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12.1  Architecture cible orientée données — Pricing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rPr>
          <w:tblHeader/>
        </w:trPr>
        <w:tc>
          <w:tcPr>
            <w:tcW w:type="dxa" w:w="18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Couche</w:t>
            </w:r>
          </w:p>
        </w:tc>
        <w:tc>
          <w:tcPr>
            <w:tcW w:type="dxa" w:w="28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Composantes</w:t>
            </w:r>
          </w:p>
        </w:tc>
        <w:tc>
          <w:tcPr>
            <w:tcW w:type="dxa" w:w="250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Technologies suggérées</w:t>
            </w:r>
          </w:p>
        </w:tc>
        <w:tc>
          <w:tcPr>
            <w:tcW w:type="dxa" w:w="2260"/>
            <w:tcBorders>
              <w:top w:val="single" w:color="004D33" w:sz="6"/>
              <w:left w:val="single" w:color="004D33" w:sz="6"/>
              <w:bottom w:val="single" w:color="004D33" w:sz="6"/>
              <w:right w:val="single" w:color="004D33" w:sz="6"/>
            </w:tcBorders>
            <w:shd w:fill="004D33"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Priorité</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Ingestion &amp; Intégration</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Lac de données (transactions, CRM, risque, ALM)
Sources externes (bureaux crédit, registres)
Streaming temps réel (Kafka/Flink)</w:t>
            </w:r>
          </w:p>
        </w:tc>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Databricks / Snowflake / Azure Synapse
Kafka, Apache Spark
APIs RESTful sécurisées</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P0 — Pré-requis</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Feature Store</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Variables enrichies par client (risque, valeur, comportement)
Mise à jour automatisée
Versionning des features</w:t>
            </w:r>
          </w:p>
        </w:tc>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Feast / Tecton / Databricks Feature Store
MLflow pour tracking
Delta Lake</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P1 — Phase 2</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Modélisation &amp; Scoring</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Modèles de risque (PD/LGD), élasticité, churn, NBO concurrent
Pipeline MLOps automatisé
Validation et monitoring continu</w:t>
            </w:r>
          </w:p>
        </w:tc>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Scikit-learn, XGBoost, LightGBM
MLflow / Kubeflow
Evidently AI (monitoring drift)</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P1 — Phase 2–3</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Moteur de pricing</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Calcul RAROC temps réel
Optimiseur de taux (contraintes RAROC, marché, capital)
Simulateur de scénarios</w:t>
            </w:r>
          </w:p>
        </w:tc>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Python (scipy, cvxpy)
API FastAPI / gRPC
Base de règles (pricing policy engine)</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P1 — Phase 3</w:t>
            </w:r>
          </w:p>
        </w:tc>
      </w:tr>
      <w:tr>
        <w:tc>
          <w:tcPr>
            <w:tcW w:type="dxa" w:w="1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Interface &amp; Distribution</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Pricing Advisor dans le CRM
Copilote IA (LLM + RAG)
Tableaux de bord gestionnaires
Alertes automatisées</w:t>
            </w:r>
          </w:p>
        </w:tc>
        <w:tc>
          <w:tcPr>
            <w:tcW w:type="dxa" w:w="2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Salesforce / Dynamics intégration
Azure OpenAI Service / Claude API
Power BI / Tableau
Notifications CRM</w:t>
            </w:r>
          </w:p>
        </w:tc>
        <w:tc>
          <w:tcPr>
            <w:tcW w:type="dxa" w:w="22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P2 — Phase 3–4</w:t>
            </w:r>
          </w:p>
        </w:tc>
      </w:tr>
      <w:tr>
        <w:tc>
          <w:tcPr>
            <w:tcW w:type="dxa" w:w="1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Gouvernance &amp; Conformité</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Registre des modèles
Audit trail des décisions
Fairness monitoring
Documentation réglementaire</w:t>
            </w:r>
          </w:p>
        </w:tc>
        <w:tc>
          <w:tcPr>
            <w:tcW w:type="dxa" w:w="2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MLflow Model Registry
Databricks Unity Catalog
Great Expectations (qualité données)
Custom fairness dashboard</w:t>
            </w:r>
          </w:p>
        </w:tc>
        <w:tc>
          <w:tcPr>
            <w:tcW w:type="dxa" w:w="22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P0 — Intégré dès début</w:t>
            </w:r>
          </w:p>
        </w:tc>
      </w:tr>
    </w:tbl>
    <w:p>
      <w:pPr>
        <w:spacing w:before="200"/>
      </w:pPr>
      <w:r>
        <w:t xml:space="preserve"/>
      </w:r>
    </w:p>
    <w:p>
      <w:pPr>
        <w:pStyle w:val="Heading2"/>
        <w:pBdr>
          <w:bottom w:val="single" w:color="00704A" w:sz="6" w:space="1"/>
        </w:pBdr>
        <w:spacing w:after="140" w:before="280"/>
      </w:pPr>
      <w:r>
        <w:rPr>
          <w:rFonts w:ascii="Arial" w:cs="Arial" w:eastAsia="Arial" w:hAnsi="Arial"/>
          <w:b/>
          <w:bCs/>
          <w:color w:val="00704A"/>
          <w:sz w:val="26"/>
          <w:szCs w:val="26"/>
        </w:rPr>
        <w:t xml:space="preserve">12.2  Matrice valeur vs effort — Priorisation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800"/>
        <w:gridCol w:w="800"/>
        <w:gridCol w:w="800"/>
        <w:gridCol w:w="2660"/>
      </w:tblGrid>
      <w:tr>
        <w:trPr>
          <w:tblHeader/>
        </w:trPr>
        <w:tc>
          <w:tcPr>
            <w:tcW w:type="dxa" w:w="5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Rang</w:t>
            </w:r>
          </w:p>
        </w:tc>
        <w:tc>
          <w:tcPr>
            <w:tcW w:type="dxa" w:w="2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Cas d'usage</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Valeur
(1–10)</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Effort
(1–10)</w:t>
            </w:r>
          </w:p>
        </w:tc>
        <w:tc>
          <w:tcPr>
            <w:tcW w:type="dxa" w:w="80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Score
(V/E)</w:t>
            </w:r>
          </w:p>
        </w:tc>
        <w:tc>
          <w:tcPr>
            <w:tcW w:type="dxa" w:w="2660"/>
            <w:tcBorders>
              <w:top w:val="single" w:color="004D33" w:sz="6"/>
              <w:left w:val="single" w:color="004D33" w:sz="6"/>
              <w:bottom w:val="single" w:color="004D33" w:sz="6"/>
              <w:right w:val="single" w:color="004D33" w:sz="6"/>
            </w:tcBorders>
            <w:shd w:fill="1B4F8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 recommandée</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Governance pricing + plancher RAROC</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9.0</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MAINTENANT</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Détection sous-tarification (anomalie ML)</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4.5</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LANCER MAINTENANT</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Dashboard RAROC simplifié DC</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2.7</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PHASE 2</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Benchmarking tarifaire structuré</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2</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3.5</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LANCER MAINTENANT</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Modèle churn pricing V1</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4</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PHASE 2</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Score concurrent NBO externe (mandat)</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1.8</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LANCER PHASE 2–3</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7</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Pricing Advisor CRM (taux recommandé)</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1.5</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3</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Prédiction acceptation offre</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5</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1.6</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3</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Optimisation spread FX</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6</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3</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2.0</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LANCER PHASE 2</w:t>
            </w:r>
          </w:p>
        </w:tc>
      </w:tr>
      <w:tr>
        <w:tc>
          <w:tcPr>
            <w:tcW w:type="dxa" w:w="5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2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Copilote IA négociation</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9</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8</w:t>
            </w:r>
          </w:p>
        </w:tc>
        <w:tc>
          <w:tcPr>
            <w:tcW w:type="dxa" w:w="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26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tcPr>
          <w:p>
            <w:r>
              <w:rPr>
                <w:rFonts w:ascii="Arial" w:cs="Arial" w:eastAsia="Arial" w:hAnsi="Arial"/>
                <w:color w:val="404040"/>
                <w:sz w:val="18"/>
                <w:szCs w:val="18"/>
              </w:rPr>
              <w:t xml:space="preserve">🔵 PHASE 4</w:t>
            </w:r>
          </w:p>
        </w:tc>
      </w:tr>
      <w:tr>
        <w:tc>
          <w:tcPr>
            <w:tcW w:type="dxa" w:w="5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11</w:t>
            </w:r>
          </w:p>
        </w:tc>
        <w:tc>
          <w:tcPr>
            <w:tcW w:type="dxa" w:w="2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Reinforcement Learning pricing</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1.0</w:t>
            </w:r>
          </w:p>
        </w:tc>
        <w:tc>
          <w:tcPr>
            <w:tcW w:type="dxa" w:w="26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tcPr>
          <w:p>
            <w:r>
              <w:rPr>
                <w:rFonts w:ascii="Arial" w:cs="Arial" w:eastAsia="Arial" w:hAnsi="Arial"/>
                <w:color w:val="404040"/>
                <w:sz w:val="18"/>
                <w:szCs w:val="18"/>
              </w:rPr>
              <w:t xml:space="preserve">🔵 PHASE 5</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04A" w:sz="8"/>
              <w:left w:val="single" w:color="00704A" w:sz="8"/>
              <w:bottom w:val="single" w:color="00704A" w:sz="8"/>
              <w:right w:val="single" w:color="00704A" w:sz="8"/>
            </w:tcBorders>
            <w:shd w:fill="E8F5EF" w:val="clear"/>
            <w:tcMar>
              <w:top w:type="dxa" w:w="120"/>
              <w:left w:type="dxa" w:w="200"/>
              <w:bottom w:type="dxa" w:w="120"/>
              <w:right w:type="dxa" w:w="200"/>
            </w:tcMar>
          </w:tcPr>
          <w:p>
            <w:r>
              <w:rPr>
                <w:rFonts w:ascii="Arial" w:cs="Arial" w:eastAsia="Arial" w:hAnsi="Arial"/>
                <w:b/>
                <w:bCs/>
                <w:color w:val="004D33"/>
                <w:sz w:val="20"/>
                <w:szCs w:val="20"/>
              </w:rPr>
              <w:t xml:space="preserve">CONCLUSION STRATÉGIQUE
La PVP Entreprises dispose d'un potentiel analytique considérable et d'un actif de données sous-exploité. En combinant une gouvernance du pricing immédiate (gains rapides, faible investissement) avec un programme analytique structuré sur 3-5 ans, Desjardins peut aspirer à figurer parmi les 5 meilleures banques commerciales nord-américaines en matière de tarification data-driven.
Le mandat NBO externe (FM-PVPE-2025) est une brique fondamentale de cette ambition : il positionne Desjardins non plus en réaction face aux concurrents, mais en anticipation — sachant avant le conseiller ce que le membre fait ailleurs, et proposant la bonne offre au bon moment au bon prix.
L'avantage coopératif de Desjardins — tarifer pour la relation, pas pour l'actionnaire — est une différenciation narrative puissante à condition d'être soutenue par des outils analytiques qui le démontrent concrètement.</w:t>
            </w:r>
          </w:p>
        </w:tc>
      </w:tr>
    </w:tbl>
    <w:p>
      <w:pPr>
        <w:spacing w:before="30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6"/>
        <w:szCs w:val="16"/>
      </w:rPr>
      <w:t xml:space="preserve">PVP Entreprises — Desjardins  |  Tarification Analytique B2B  |  CONFIDENTIEL  |  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color w:val="00704A"/>
        <w:sz w:val="16"/>
        <w:szCs w:val="16"/>
      </w:rPr>
    </w:lvl>
  </w:abstractNum>
  <w:abstractNum w:abstractNumId="3"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spacing w:after="40" w:before="40"/>
        <w:ind w:left="1120" w:hanging="280"/>
      </w:pPr>
      <w:rPr>
        <w:color w:val="40404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70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2026-05-16T22:38:15.916Z</dcterms:created>
  <dcterms:modified xsi:type="dcterms:W3CDTF">2026-05-16T22:38:15.931Z</dcterms:modified>
</cp:coreProperties>
</file>

<file path=docProps/custom.xml><?xml version="1.0" encoding="utf-8"?>
<Properties xmlns="http://schemas.openxmlformats.org/officeDocument/2006/custom-properties" xmlns:vt="http://schemas.openxmlformats.org/officeDocument/2006/docPropsVTypes"/>
</file>