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160" w:before="0"/>
        <w:jc w:val="center"/>
      </w:pPr>
      <w:r>
        <w:rPr>
          <w:rFonts w:ascii="Arial" w:cs="Arial" w:eastAsia="Arial" w:hAnsi="Arial"/>
          <w:b/>
          <w:bCs/>
          <w:caps/>
          <w:color w:val="00704A"/>
          <w:sz w:val="24"/>
          <w:szCs w:val="24"/>
        </w:rPr>
        <w:t xml:space="preserve">PVP ENTREPRISES — DESJARDINS</w:t>
      </w:r>
    </w:p>
    <w:p>
      <w:pPr>
        <w:spacing w:after="100" w:before="0"/>
        <w:jc w:val="center"/>
      </w:pPr>
      <w:r>
        <w:rPr>
          <w:rFonts w:ascii="Arial" w:cs="Arial" w:eastAsia="Arial" w:hAnsi="Arial"/>
          <w:b/>
          <w:bCs/>
          <w:color w:val="004D33"/>
          <w:sz w:val="52"/>
          <w:szCs w:val="52"/>
        </w:rPr>
        <w:t xml:space="preserve">TARIFICATION BANCAIRE B2B</w:t>
      </w:r>
    </w:p>
    <w:p>
      <w:pPr>
        <w:spacing w:after="100" w:before="0"/>
        <w:jc w:val="center"/>
      </w:pPr>
      <w:r>
        <w:rPr>
          <w:rFonts w:ascii="Arial" w:cs="Arial" w:eastAsia="Arial" w:hAnsi="Arial"/>
          <w:i/>
          <w:iCs/>
          <w:color w:val="1B4F8A"/>
          <w:sz w:val="28"/>
          <w:szCs w:val="28"/>
        </w:rPr>
        <w:t xml:space="preserve">Intelligence Analytique &amp; Optimisation du Revenu</w:t>
      </w:r>
    </w:p>
    <w:p>
      <w:pPr>
        <w:spacing w:after="500" w:before="0"/>
        <w:jc w:val="center"/>
      </w:pPr>
      <w:r>
        <w:rPr>
          <w:rFonts w:ascii="Arial" w:cs="Arial" w:eastAsia="Arial" w:hAnsi="Arial"/>
          <w:i/>
          <w:iCs/>
          <w:color w:val="404040"/>
          <w:sz w:val="18"/>
          <w:szCs w:val="18"/>
        </w:rPr>
        <w:t xml:space="preserve">Édition enrichie — Sources : BCG, McKinsey, BIS, Revue Banque, Investopedia, Oracle AI</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00704A" w:sz="12"/>
              <w:left w:val="single" w:color="00704A" w:sz="12"/>
              <w:bottom w:val="single" w:color="00704A" w:sz="12"/>
              <w:right w:val="single" w:color="00704A" w:sz="12"/>
            </w:tcBorders>
            <w:shd w:fill="E8F5EF" w:val="clear"/>
            <w:tcMar>
              <w:top w:type="dxa" w:w="180"/>
              <w:left w:type="dxa" w:w="300"/>
              <w:bottom w:type="dxa" w:w="180"/>
              <w:right w:type="dxa" w:w="300"/>
            </w:tcMar>
          </w:tcPr>
          <w:p>
            <w:pPr>
              <w:spacing w:after="80"/>
              <w:jc w:val="center"/>
            </w:pPr>
            <w:r>
              <w:rPr>
                <w:rFonts w:ascii="Arial" w:cs="Arial" w:eastAsia="Arial" w:hAnsi="Arial"/>
                <w:b/>
                <w:bCs/>
                <w:color w:val="004D33"/>
                <w:sz w:val="24"/>
                <w:szCs w:val="24"/>
              </w:rPr>
              <w:t xml:space="preserve">Analyse Expert Senior — Version 2.0</w:t>
            </w:r>
          </w:p>
          <w:p>
            <w:pPr>
              <w:spacing w:after="80"/>
              <w:jc w:val="center"/>
            </w:pPr>
            <w:r>
              <w:rPr>
                <w:rFonts w:ascii="Arial" w:cs="Arial" w:eastAsia="Arial" w:hAnsi="Arial"/>
                <w:color w:val="404040"/>
                <w:sz w:val="20"/>
                <w:szCs w:val="20"/>
              </w:rPr>
              <w:t xml:space="preserve">Tarification • RAROC • Analytique Avancée • IA • Stratégie</w:t>
            </w:r>
          </w:p>
          <w:p>
            <w:pPr>
              <w:jc w:val="center"/>
            </w:pPr>
            <w:r>
              <w:rPr>
                <w:rFonts w:ascii="Arial" w:cs="Arial" w:eastAsia="Arial" w:hAnsi="Arial"/>
                <w:b/>
                <w:bCs/>
                <w:color w:val="C55A11"/>
                <w:sz w:val="18"/>
                <w:szCs w:val="18"/>
              </w:rPr>
              <w:t xml:space="preserve">Confidentiel — Usage interne PVP Entreprises</w:t>
            </w:r>
          </w:p>
        </w:tc>
      </w:tr>
    </w:tbl>
    <w:p>
      <w:pPr>
        <w:spacing w:before="600"/>
      </w:pPr>
      <w:r>
        <w:t xml:space="preserve"/>
      </w:r>
    </w:p>
    <w:p>
      <w:pPr>
        <w:jc w:val="center"/>
      </w:pPr>
      <w:r>
        <w:rPr>
          <w:rFonts w:ascii="Arial" w:cs="Arial" w:eastAsia="Arial" w:hAnsi="Arial"/>
          <w:color w:val="404040"/>
          <w:sz w:val="18"/>
          <w:szCs w:val="18"/>
        </w:rPr>
        <w:t xml:space="preserve">Mai 2025  |  Intégrant le document de référence : Tarification bancaire aux entreprises — principes généraux</w:t>
      </w:r>
    </w:p>
    <w:p>
      <w:pPr>
        <w:spacing w:after="0" w:before="0"/>
      </w:pPr>
      <w:r>
        <w:br w:type="page"/>
      </w:r>
    </w:p>
    <w:p>
      <w:pPr>
        <w:pStyle w:val="Heading1"/>
        <w:shd w:fill="004D33" w:val="clear"/>
        <w:spacing w:after="200" w:before="360"/>
        <w:ind w:left="200" w:right="200"/>
      </w:pPr>
      <w:r>
        <w:rPr>
          <w:rFonts w:ascii="Arial" w:cs="Arial" w:eastAsia="Arial" w:hAnsi="Arial"/>
          <w:b/>
          <w:bCs/>
          <w:color w:val="FFFFFF"/>
          <w:sz w:val="32"/>
          <w:szCs w:val="32"/>
        </w:rPr>
        <w:t xml:space="preserve">TABLE DES MATIÈRES</w:t>
      </w:r>
    </w:p>
    <w:p>
      <w:pPr>
        <w:spacing w:before="200"/>
      </w:pPr>
      <w:r>
        <w:t xml:space="preserve"/>
      </w:r>
    </w:p>
    <w:p>
      <w:pPr>
        <w:spacing w:after="100" w:before="100"/>
        <w:ind w:left="200"/>
      </w:pPr>
      <w:r>
        <w:rPr>
          <w:rFonts w:ascii="Arial" w:cs="Arial" w:eastAsia="Arial" w:hAnsi="Arial"/>
          <w:b/>
          <w:bCs/>
          <w:color w:val="004D33"/>
          <w:sz w:val="20"/>
          <w:szCs w:val="20"/>
        </w:rPr>
        <w:t xml:space="preserve">01.  Fondements de la tarification bancaire B2B</w:t>
      </w:r>
      <w:r>
        <w:rPr>
          <w:rFonts w:ascii="Arial" w:cs="Arial" w:eastAsia="Arial" w:hAnsi="Arial"/>
          <w:color w:val="D9D9D9"/>
          <w:sz w:val="20"/>
          <w:szCs w:val="20"/>
        </w:rPr>
        <w:t xml:space="preserve">  ............  p.3</w:t>
      </w:r>
    </w:p>
    <w:p>
      <w:pPr>
        <w:spacing w:after="100" w:before="100"/>
        <w:ind w:left="200"/>
      </w:pPr>
      <w:r>
        <w:rPr>
          <w:rFonts w:ascii="Arial" w:cs="Arial" w:eastAsia="Arial" w:hAnsi="Arial"/>
          <w:b/>
          <w:bCs/>
          <w:color w:val="004D33"/>
          <w:sz w:val="20"/>
          <w:szCs w:val="20"/>
        </w:rPr>
        <w:t xml:space="preserve">02.  Variables clés influençant la tarification</w:t>
      </w:r>
      <w:r>
        <w:rPr>
          <w:rFonts w:ascii="Arial" w:cs="Arial" w:eastAsia="Arial" w:hAnsi="Arial"/>
          <w:color w:val="D9D9D9"/>
          <w:sz w:val="20"/>
          <w:szCs w:val="20"/>
        </w:rPr>
        <w:t xml:space="preserve">  ............  p.7</w:t>
      </w:r>
    </w:p>
    <w:p>
      <w:pPr>
        <w:spacing w:after="100" w:before="100"/>
        <w:ind w:left="200"/>
      </w:pPr>
      <w:r>
        <w:rPr>
          <w:rFonts w:ascii="Arial" w:cs="Arial" w:eastAsia="Arial" w:hAnsi="Arial"/>
          <w:b/>
          <w:bCs/>
          <w:color w:val="004D33"/>
          <w:sz w:val="20"/>
          <w:szCs w:val="20"/>
        </w:rPr>
        <w:t xml:space="preserve">03.  Concepts fondamentaux : Pricing Waterfall, RAROC, NIM</w:t>
      </w:r>
      <w:r>
        <w:rPr>
          <w:rFonts w:ascii="Arial" w:cs="Arial" w:eastAsia="Arial" w:hAnsi="Arial"/>
          <w:color w:val="D9D9D9"/>
          <w:sz w:val="20"/>
          <w:szCs w:val="20"/>
        </w:rPr>
        <w:t xml:space="preserve">  ............  p.10</w:t>
      </w:r>
    </w:p>
    <w:p>
      <w:pPr>
        <w:spacing w:after="100" w:before="100"/>
        <w:ind w:left="200"/>
      </w:pPr>
      <w:r>
        <w:rPr>
          <w:rFonts w:ascii="Arial" w:cs="Arial" w:eastAsia="Arial" w:hAnsi="Arial"/>
          <w:b/>
          <w:bCs/>
          <w:color w:val="004D33"/>
          <w:sz w:val="20"/>
          <w:szCs w:val="20"/>
        </w:rPr>
        <w:t xml:space="preserve">04.  IA &amp; Analytique avancée — Approches et modèles</w:t>
      </w:r>
      <w:r>
        <w:rPr>
          <w:rFonts w:ascii="Arial" w:cs="Arial" w:eastAsia="Arial" w:hAnsi="Arial"/>
          <w:color w:val="D9D9D9"/>
          <w:sz w:val="20"/>
          <w:szCs w:val="20"/>
        </w:rPr>
        <w:t xml:space="preserve">  ............  p.15</w:t>
      </w:r>
    </w:p>
    <w:p>
      <w:pPr>
        <w:spacing w:after="100" w:before="100"/>
        <w:ind w:left="200"/>
      </w:pPr>
      <w:r>
        <w:rPr>
          <w:rFonts w:ascii="Arial" w:cs="Arial" w:eastAsia="Arial" w:hAnsi="Arial"/>
          <w:b/>
          <w:bCs/>
          <w:color w:val="004D33"/>
          <w:sz w:val="20"/>
          <w:szCs w:val="20"/>
        </w:rPr>
        <w:t xml:space="preserve">05.  Cas d'usage analytiques — Tableau de synthèse complet</w:t>
      </w:r>
      <w:r>
        <w:rPr>
          <w:rFonts w:ascii="Arial" w:cs="Arial" w:eastAsia="Arial" w:hAnsi="Arial"/>
          <w:color w:val="D9D9D9"/>
          <w:sz w:val="20"/>
          <w:szCs w:val="20"/>
        </w:rPr>
        <w:t xml:space="preserve">  ............  p.20</w:t>
      </w:r>
    </w:p>
    <w:p>
      <w:pPr>
        <w:spacing w:after="100" w:before="100"/>
        <w:ind w:left="200"/>
      </w:pPr>
      <w:r>
        <w:rPr>
          <w:rFonts w:ascii="Arial" w:cs="Arial" w:eastAsia="Arial" w:hAnsi="Arial"/>
          <w:b/>
          <w:bCs/>
          <w:color w:val="004D33"/>
          <w:sz w:val="20"/>
          <w:szCs w:val="20"/>
        </w:rPr>
        <w:t xml:space="preserve">06.  Analyse approfondie des cas d'usage prioritaires</w:t>
      </w:r>
      <w:r>
        <w:rPr>
          <w:rFonts w:ascii="Arial" w:cs="Arial" w:eastAsia="Arial" w:hAnsi="Arial"/>
          <w:color w:val="D9D9D9"/>
          <w:sz w:val="20"/>
          <w:szCs w:val="20"/>
        </w:rPr>
        <w:t xml:space="preserve">  ............  p.24</w:t>
      </w:r>
    </w:p>
    <w:p>
      <w:pPr>
        <w:spacing w:after="100" w:before="100"/>
        <w:ind w:left="200"/>
      </w:pPr>
      <w:r>
        <w:rPr>
          <w:rFonts w:ascii="Arial" w:cs="Arial" w:eastAsia="Arial" w:hAnsi="Arial"/>
          <w:b/>
          <w:bCs/>
          <w:color w:val="004D33"/>
          <w:sz w:val="20"/>
          <w:szCs w:val="20"/>
        </w:rPr>
        <w:t xml:space="preserve">07.  Modèle GAN de BCG — Cas concret de pricing IA</w:t>
      </w:r>
      <w:r>
        <w:rPr>
          <w:rFonts w:ascii="Arial" w:cs="Arial" w:eastAsia="Arial" w:hAnsi="Arial"/>
          <w:color w:val="D9D9D9"/>
          <w:sz w:val="20"/>
          <w:szCs w:val="20"/>
        </w:rPr>
        <w:t xml:space="preserve">  ............  p.33</w:t>
      </w:r>
    </w:p>
    <w:p>
      <w:pPr>
        <w:spacing w:after="100" w:before="100"/>
        <w:ind w:left="200"/>
      </w:pPr>
      <w:r>
        <w:rPr>
          <w:rFonts w:ascii="Arial" w:cs="Arial" w:eastAsia="Arial" w:hAnsi="Arial"/>
          <w:b/>
          <w:bCs/>
          <w:color w:val="004D33"/>
          <w:sz w:val="20"/>
          <w:szCs w:val="20"/>
        </w:rPr>
        <w:t xml:space="preserve">08.  Quick Wins vs Initiatives transformationnelles</w:t>
      </w:r>
      <w:r>
        <w:rPr>
          <w:rFonts w:ascii="Arial" w:cs="Arial" w:eastAsia="Arial" w:hAnsi="Arial"/>
          <w:color w:val="D9D9D9"/>
          <w:sz w:val="20"/>
          <w:szCs w:val="20"/>
        </w:rPr>
        <w:t xml:space="preserve">  ............  p.35</w:t>
      </w:r>
    </w:p>
    <w:p>
      <w:pPr>
        <w:spacing w:after="100" w:before="100"/>
        <w:ind w:left="200"/>
      </w:pPr>
      <w:r>
        <w:rPr>
          <w:rFonts w:ascii="Arial" w:cs="Arial" w:eastAsia="Arial" w:hAnsi="Arial"/>
          <w:b/>
          <w:bCs/>
          <w:color w:val="004D33"/>
          <w:sz w:val="20"/>
          <w:szCs w:val="20"/>
        </w:rPr>
        <w:t xml:space="preserve">09.  Roadmap analytique de maturité en 6 phases</w:t>
      </w:r>
      <w:r>
        <w:rPr>
          <w:rFonts w:ascii="Arial" w:cs="Arial" w:eastAsia="Arial" w:hAnsi="Arial"/>
          <w:color w:val="D9D9D9"/>
          <w:sz w:val="20"/>
          <w:szCs w:val="20"/>
        </w:rPr>
        <w:t xml:space="preserve">  ............  p.37</w:t>
      </w:r>
    </w:p>
    <w:p>
      <w:pPr>
        <w:spacing w:after="100" w:before="100"/>
        <w:ind w:left="200"/>
      </w:pPr>
      <w:r>
        <w:rPr>
          <w:rFonts w:ascii="Arial" w:cs="Arial" w:eastAsia="Arial" w:hAnsi="Arial"/>
          <w:b/>
          <w:bCs/>
          <w:color w:val="004D33"/>
          <w:sz w:val="20"/>
          <w:szCs w:val="20"/>
        </w:rPr>
        <w:t xml:space="preserve">10.  Benchmarking mondial — JPMorgan, Capital One, RBC, BBVA…</w:t>
      </w:r>
      <w:r>
        <w:rPr>
          <w:rFonts w:ascii="Arial" w:cs="Arial" w:eastAsia="Arial" w:hAnsi="Arial"/>
          <w:color w:val="D9D9D9"/>
          <w:sz w:val="20"/>
          <w:szCs w:val="20"/>
        </w:rPr>
        <w:t xml:space="preserve">  ............  p.41</w:t>
      </w:r>
    </w:p>
    <w:p>
      <w:pPr>
        <w:spacing w:after="100" w:before="100"/>
        <w:ind w:left="200"/>
      </w:pPr>
      <w:r>
        <w:rPr>
          <w:rFonts w:ascii="Arial" w:cs="Arial" w:eastAsia="Arial" w:hAnsi="Arial"/>
          <w:b/>
          <w:bCs/>
          <w:color w:val="004D33"/>
          <w:sz w:val="20"/>
          <w:szCs w:val="20"/>
        </w:rPr>
        <w:t xml:space="preserve">11.  Idées concrètes d'amélioration revenu &amp; expérience membre</w:t>
      </w:r>
      <w:r>
        <w:rPr>
          <w:rFonts w:ascii="Arial" w:cs="Arial" w:eastAsia="Arial" w:hAnsi="Arial"/>
          <w:color w:val="D9D9D9"/>
          <w:sz w:val="20"/>
          <w:szCs w:val="20"/>
        </w:rPr>
        <w:t xml:space="preserve">  ............  p.45</w:t>
      </w:r>
    </w:p>
    <w:p>
      <w:pPr>
        <w:spacing w:after="100" w:before="100"/>
        <w:ind w:left="200"/>
      </w:pPr>
      <w:r>
        <w:rPr>
          <w:rFonts w:ascii="Arial" w:cs="Arial" w:eastAsia="Arial" w:hAnsi="Arial"/>
          <w:b/>
          <w:bCs/>
          <w:color w:val="004D33"/>
          <w:sz w:val="20"/>
          <w:szCs w:val="20"/>
        </w:rPr>
        <w:t xml:space="preserve">12.  Contraintes réglementaires &amp; Limites éthiques</w:t>
      </w:r>
      <w:r>
        <w:rPr>
          <w:rFonts w:ascii="Arial" w:cs="Arial" w:eastAsia="Arial" w:hAnsi="Arial"/>
          <w:color w:val="D9D9D9"/>
          <w:sz w:val="20"/>
          <w:szCs w:val="20"/>
        </w:rPr>
        <w:t xml:space="preserve">  ............  p.48</w:t>
      </w:r>
    </w:p>
    <w:p>
      <w:pPr>
        <w:spacing w:after="100" w:before="100"/>
        <w:ind w:left="200"/>
      </w:pPr>
      <w:r>
        <w:rPr>
          <w:rFonts w:ascii="Arial" w:cs="Arial" w:eastAsia="Arial" w:hAnsi="Arial"/>
          <w:b/>
          <w:bCs/>
          <w:color w:val="004D33"/>
          <w:sz w:val="20"/>
          <w:szCs w:val="20"/>
        </w:rPr>
        <w:t xml:space="preserve">13.  Freins organisationnels &amp; Pièges courants des modèles</w:t>
      </w:r>
      <w:r>
        <w:rPr>
          <w:rFonts w:ascii="Arial" w:cs="Arial" w:eastAsia="Arial" w:hAnsi="Arial"/>
          <w:color w:val="D9D9D9"/>
          <w:sz w:val="20"/>
          <w:szCs w:val="20"/>
        </w:rPr>
        <w:t xml:space="preserve">  ............  p.52</w:t>
      </w:r>
    </w:p>
    <w:p>
      <w:pPr>
        <w:spacing w:after="100" w:before="100"/>
        <w:ind w:left="200"/>
      </w:pPr>
      <w:r>
        <w:rPr>
          <w:rFonts w:ascii="Arial" w:cs="Arial" w:eastAsia="Arial" w:hAnsi="Arial"/>
          <w:b/>
          <w:bCs/>
          <w:color w:val="004D33"/>
          <w:sz w:val="20"/>
          <w:szCs w:val="20"/>
        </w:rPr>
        <w:t xml:space="preserve">14.  Architecture cible &amp; Matrice de priorisation finale</w:t>
      </w:r>
      <w:r>
        <w:rPr>
          <w:rFonts w:ascii="Arial" w:cs="Arial" w:eastAsia="Arial" w:hAnsi="Arial"/>
          <w:color w:val="D9D9D9"/>
          <w:sz w:val="20"/>
          <w:szCs w:val="20"/>
        </w:rPr>
        <w:t xml:space="preserve">  ............  p.55</w:t>
      </w:r>
    </w:p>
    <w:p>
      <w:pPr>
        <w:spacing w:after="0" w:before="0"/>
      </w:pPr>
      <w:r>
        <w:br w:type="page"/>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33" w:sz="0"/>
              <w:left w:val="single" w:color="004D33" w:sz="0"/>
              <w:bottom w:val="single" w:color="004D33" w:sz="0"/>
              <w:right w:val="single" w:color="004D33" w:sz="0"/>
            </w:tcBorders>
            <w:shd w:fill="004D33" w:val="clear"/>
            <w:tcMar>
              <w:top w:type="dxa" w:w="200"/>
              <w:left w:type="dxa" w:w="300"/>
              <w:bottom w:type="dxa" w:w="200"/>
              <w:right w:type="dxa" w:w="300"/>
            </w:tcMar>
          </w:tcPr>
          <w:p>
            <w:pPr>
              <w:spacing w:after="0" w:before="0"/>
              <w:jc w:val="center"/>
            </w:pPr>
            <w:r>
              <w:rPr>
                <w:rFonts w:ascii="Arial" w:cs="Arial" w:eastAsia="Arial" w:hAnsi="Arial"/>
                <w:b/>
                <w:bCs/>
                <w:color w:val="C2E0CF"/>
                <w:sz w:val="52"/>
                <w:szCs w:val="52"/>
              </w:rPr>
              <w:t xml:space="preserve">01</w:t>
            </w:r>
          </w:p>
          <w:p>
            <w:pPr>
              <w:spacing w:after="60" w:before="80"/>
              <w:jc w:val="center"/>
            </w:pPr>
            <w:r>
              <w:rPr>
                <w:rFonts w:ascii="Arial" w:cs="Arial" w:eastAsia="Arial" w:hAnsi="Arial"/>
                <w:b/>
                <w:bCs/>
                <w:color w:val="FFFFFF"/>
                <w:sz w:val="34"/>
                <w:szCs w:val="34"/>
              </w:rPr>
              <w:t xml:space="preserve">FONDEMENTS DE LA TARIFICATION BANCAIRE B2B</w:t>
            </w:r>
          </w:p>
          <w:p>
            <w:pPr>
              <w:spacing w:after="0" w:before="0"/>
              <w:jc w:val="center"/>
            </w:pPr>
            <w:r>
              <w:rPr>
                <w:rFonts w:ascii="Arial" w:cs="Arial" w:eastAsia="Arial" w:hAnsi="Arial"/>
                <w:i/>
                <w:iCs/>
                <w:color w:val="E8F5EF"/>
                <w:sz w:val="20"/>
                <w:szCs w:val="20"/>
              </w:rPr>
              <w:t xml:space="preserve">Principes généraux — Mix taux d'intérêt et frais</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1.1  Vue d'ensemble — La logique du pricing bancaire B2B</w:t>
      </w:r>
    </w:p>
    <w:p>
      <w:pPr>
        <w:spacing w:after="80" w:before="80"/>
      </w:pPr>
      <w:r>
        <w:rPr>
          <w:rFonts w:ascii="Arial" w:cs="Arial" w:eastAsia="Arial" w:hAnsi="Arial"/>
          <w:color w:val="404040"/>
          <w:sz w:val="20"/>
          <w:szCs w:val="20"/>
        </w:rPr>
        <w:t xml:space="preserve">La tarification en banque d'entreprise couvre un ensemble de produits (prêts commerciaux, marges de crédit, dépôts, comptes transactions, cash management, changes, cartes professionnelles, produits spécialisés) et repose sur un mix de taux d'intérêt et de frais. La fixation des prix en crédit corporate est déterminée « au cas par cas » : chaque banque utilise des modèles internes et des politiques évaluant le coût des fonds, le profil de risque du client, les objectifs de rentabilité et les facteurs concurrentiels.</w:t>
      </w:r>
    </w:p>
    <w:p>
      <w:pPr>
        <w:spacing w:after="80" w:before="40"/>
        <w:ind w:left="200"/>
      </w:pPr>
      <w:r>
        <w:rPr>
          <w:rFonts w:ascii="Arial" w:cs="Arial" w:eastAsia="Arial" w:hAnsi="Arial"/>
          <w:i/>
          <w:iCs/>
          <w:color w:val="006B6B"/>
          <w:sz w:val="16"/>
          <w:szCs w:val="16"/>
        </w:rPr>
        <w:t xml:space="preserve">📚 Source : PremierCreditInsight — Demystifying How Banks Price Their Commercial Loans</w:t>
      </w:r>
    </w:p>
    <w:p>
      <w:pPr>
        <w:spacing w:before="100"/>
      </w:pPr>
      <w:r>
        <w:t xml:space="preserve"/>
      </w:r>
    </w:p>
    <w:p>
      <w:pPr>
        <w:pStyle w:val="Heading3"/>
        <w:spacing w:after="100" w:before="200"/>
      </w:pPr>
      <w:r>
        <w:rPr>
          <w:rFonts w:ascii="Arial" w:cs="Arial" w:eastAsia="Arial" w:hAnsi="Arial"/>
          <w:b/>
          <w:bCs/>
          <w:color w:val="1B4F8A"/>
          <w:sz w:val="22"/>
          <w:szCs w:val="22"/>
        </w:rPr>
        <w:t xml:space="preserve">1.2  Prêts commerciaux — Décomposition du taux</w:t>
      </w:r>
    </w:p>
    <w:p>
      <w:pPr>
        <w:spacing w:after="80" w:before="80"/>
      </w:pPr>
      <w:r>
        <w:rPr>
          <w:rFonts w:ascii="Arial" w:cs="Arial" w:eastAsia="Arial" w:hAnsi="Arial"/>
          <w:color w:val="404040"/>
          <w:sz w:val="20"/>
          <w:szCs w:val="20"/>
        </w:rPr>
        <w:t xml:space="preserve">Les prêts commerciaux sont tarifés selon un taux de référence (prime, CORRA au Canada post-2024, taux du marché monétaire) majoré d'une marge liée au risque de crédit et aux objectifs de rentabilité de la banque. Chaque contrat est potentiellement négocié en fonction de ses caractéristiques propres, sous l'arbitrage du directeur de compte, dans le respect des garde-fous internes (fourchettes de taux, RAROC minimum, approbations).</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960"/>
      </w:tblGrid>
      <w:tr>
        <w:trPr>
          <w:tblHeader/>
        </w:trPr>
        <w:tc>
          <w:tcPr>
            <w:tcW w:type="dxa" w:w="24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Composante du taux</w:t>
            </w:r>
          </w:p>
        </w:tc>
        <w:tc>
          <w:tcPr>
            <w:tcW w:type="dxa" w:w="24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16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Impact typique (pb)</w:t>
            </w:r>
          </w:p>
        </w:tc>
        <w:tc>
          <w:tcPr>
            <w:tcW w:type="dxa" w:w="296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Responsable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de base (CORRA / Prime)</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sans risque de marché — ancre le pricing</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Variable (marché)</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Marchés financiers / Trésorerie</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Spread de crédit (prime de risque)</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Ajustement pour risque PD × LGD du client</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50 – 400 pb</w:t>
            </w:r>
          </w:p>
        </w:tc>
        <w:tc>
          <w:tcPr>
            <w:tcW w:type="dxa" w:w="2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Modèle de risque interne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Prime de liquidité (coût des fonds)</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Coût de financement de la banque pour la durée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20 – 80 pb</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ALM / Trésorerie (FTP)</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Charge en capital réglementaire</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RWA × CoC — couverture Bâle III/IV</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30 – 150 pb</w:t>
            </w:r>
          </w:p>
        </w:tc>
        <w:tc>
          <w:tcPr>
            <w:tcW w:type="dxa" w:w="2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Risque / Finance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Coûts d'exploitation</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Origination, suivi, administration, documentation</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10 – 50 pb</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Opérations</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Ajustement relationnel</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Discount pour profondeur relation (WoW, multi-produit)</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−10 à −80 pb</w:t>
            </w:r>
          </w:p>
        </w:tc>
        <w:tc>
          <w:tcPr>
            <w:tcW w:type="dxa" w:w="2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Directeur de compte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Prime de marché / concurrence</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Ajustement vs offres des banques concurrentes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−20 à +40 pb</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Intel concurrentielle</w:t>
            </w:r>
          </w:p>
        </w:tc>
      </w:tr>
    </w:tbl>
    <w:p>
      <w:pPr>
        <w:spacing w:before="200"/>
      </w:pPr>
      <w:r>
        <w:t xml:space="preserve"/>
      </w:r>
    </w:p>
    <w:p>
      <w:pPr>
        <w:pStyle w:val="Heading3"/>
        <w:spacing w:after="100" w:before="200"/>
      </w:pPr>
      <w:r>
        <w:rPr>
          <w:rFonts w:ascii="Arial" w:cs="Arial" w:eastAsia="Arial" w:hAnsi="Arial"/>
          <w:b/>
          <w:bCs/>
          <w:color w:val="1B4F8A"/>
          <w:sz w:val="22"/>
          <w:szCs w:val="22"/>
        </w:rPr>
        <w:t xml:space="preserve">1.3  Marges de crédit (facilités revolving)</w:t>
      </w:r>
    </w:p>
    <w:p>
      <w:pPr>
        <w:spacing w:after="80" w:before="80"/>
      </w:pPr>
      <w:r>
        <w:rPr>
          <w:rFonts w:ascii="Arial" w:cs="Arial" w:eastAsia="Arial" w:hAnsi="Arial"/>
          <w:color w:val="404040"/>
          <w:sz w:val="20"/>
          <w:szCs w:val="20"/>
        </w:rPr>
        <w:t xml:space="preserve">Les lignes de crédit comportent un taux d'intérêt pour la partie utilisée et des frais de non-utilisation. La tarification doit modéliser les draw-down patterns pour optimiser la rentabilité ajustée au risque de liquidité.</w:t>
      </w:r>
    </w:p>
    <w:p>
      <w:pPr>
        <w:pStyle w:val="ListParagraph"/>
        <w:numPr>
          <w:ilvl w:val="0"/>
          <w:numId w:val="2"/>
        </w:numPr>
        <w:spacing w:after="60" w:before="60"/>
      </w:pPr>
      <w:r>
        <w:rPr>
          <w:rFonts w:ascii="Arial" w:cs="Arial" w:eastAsia="Arial" w:hAnsi="Arial"/>
          <w:b w:val="false"/>
          <w:bCs w:val="false"/>
          <w:color w:val="404040"/>
          <w:sz w:val="20"/>
          <w:szCs w:val="20"/>
        </w:rPr>
        <w:t xml:space="preserve">Taux d'utilisation (drawn rate) : appliqué sur le montant utilisé</w:t>
      </w:r>
    </w:p>
    <w:p>
      <w:pPr>
        <w:pStyle w:val="ListParagraph"/>
        <w:numPr>
          <w:ilvl w:val="0"/>
          <w:numId w:val="2"/>
        </w:numPr>
        <w:spacing w:after="60" w:before="60"/>
      </w:pPr>
      <w:r>
        <w:rPr>
          <w:rFonts w:ascii="Arial" w:cs="Arial" w:eastAsia="Arial" w:hAnsi="Arial"/>
          <w:b w:val="false"/>
          <w:bCs w:val="false"/>
          <w:color w:val="404040"/>
          <w:sz w:val="20"/>
          <w:szCs w:val="20"/>
        </w:rPr>
        <w:t xml:space="preserve">Commission de non-utilisation (commitment fee) : 0,15 % à 0,50 % annuel sur la portion inutilisée</w:t>
      </w:r>
    </w:p>
    <w:p>
      <w:pPr>
        <w:pStyle w:val="ListParagraph"/>
        <w:numPr>
          <w:ilvl w:val="0"/>
          <w:numId w:val="2"/>
        </w:numPr>
        <w:spacing w:after="60" w:before="60"/>
      </w:pPr>
      <w:r>
        <w:rPr>
          <w:rFonts w:ascii="Arial" w:cs="Arial" w:eastAsia="Arial" w:hAnsi="Arial"/>
          <w:b w:val="false"/>
          <w:bCs w:val="false"/>
          <w:color w:val="404040"/>
          <w:sz w:val="20"/>
          <w:szCs w:val="20"/>
        </w:rPr>
        <w:t xml:space="preserve">Frais d'engagement et de structuration (upfront fee) : versé à la mise en place</w:t>
      </w:r>
    </w:p>
    <w:p>
      <w:pPr>
        <w:spacing w:before="100"/>
      </w:pPr>
      <w:r>
        <w:t xml:space="preserve"/>
      </w:r>
    </w:p>
    <w:p>
      <w:pPr>
        <w:pStyle w:val="Heading3"/>
        <w:spacing w:after="100" w:before="200"/>
      </w:pPr>
      <w:r>
        <w:rPr>
          <w:rFonts w:ascii="Arial" w:cs="Arial" w:eastAsia="Arial" w:hAnsi="Arial"/>
          <w:b/>
          <w:bCs/>
          <w:color w:val="1B4F8A"/>
          <w:sz w:val="22"/>
          <w:szCs w:val="22"/>
        </w:rPr>
        <w:t xml:space="preserve">1.4  Dépôts — Source de coût de liquidité et de NIM</w:t>
      </w:r>
    </w:p>
    <w:p>
      <w:pPr>
        <w:spacing w:after="80" w:before="80"/>
      </w:pPr>
      <w:r>
        <w:rPr>
          <w:rFonts w:ascii="Arial" w:cs="Arial" w:eastAsia="Arial" w:hAnsi="Arial"/>
          <w:color w:val="404040"/>
          <w:sz w:val="20"/>
          <w:szCs w:val="20"/>
        </w:rPr>
        <w:t xml:space="preserve">Les dépôts et comptes d'entreprise sont moins rémunérateurs pour le client : ils génèrent surtout des coûts de liquidité pour la banque, liés à la marge d'intérêt nette (NIM). Les banques facturent des frais de service selon des grilles tarifaires réglementées ou concurrentielles. La valeur stratégique des dépôts opérationnels (très stables, LCR favorable) justifie des taux compétitifs pour les attirer.</w:t>
      </w:r>
    </w:p>
    <w:p>
      <w:pPr>
        <w:spacing w:after="80" w:before="40"/>
        <w:ind w:left="200"/>
      </w:pPr>
      <w:r>
        <w:rPr>
          <w:rFonts w:ascii="Arial" w:cs="Arial" w:eastAsia="Arial" w:hAnsi="Arial"/>
          <w:i/>
          <w:iCs/>
          <w:color w:val="006B6B"/>
          <w:sz w:val="16"/>
          <w:szCs w:val="16"/>
        </w:rPr>
        <w:t xml:space="preserve">📚 Source : Investopedia — Understanding Net Interest Margin</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000"/>
        <w:gridCol w:w="3660"/>
      </w:tblGrid>
      <w:tr>
        <w:trPr>
          <w:tblHeader/>
        </w:trPr>
        <w:tc>
          <w:tcPr>
            <w:tcW w:type="dxa" w:w="22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Type de dépôt</w:t>
            </w:r>
          </w:p>
        </w:tc>
        <w:tc>
          <w:tcPr>
            <w:tcW w:type="dxa" w:w="15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Stabilité</w:t>
            </w:r>
          </w:p>
        </w:tc>
        <w:tc>
          <w:tcPr>
            <w:tcW w:type="dxa" w:w="20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Taux vs taux directeur</w:t>
            </w:r>
          </w:p>
        </w:tc>
        <w:tc>
          <w:tcPr>
            <w:tcW w:type="dxa" w:w="366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Valeur stratégique LCR/NSFR</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Compte opérationnel</w:t>
            </w:r>
          </w:p>
        </w:tc>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Très élevée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0 % à 20 %</w:t>
            </w:r>
          </w:p>
        </w:tc>
        <w:tc>
          <w:tcPr>
            <w:tcW w:type="dxa" w:w="3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Maximale — float, cross-sell, LCR favorable</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Compte d'épargne affaires</w:t>
            </w:r>
          </w:p>
        </w:tc>
        <w:tc>
          <w:tcPr>
            <w:tcW w:type="dxa" w:w="1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Élevée</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30 % à 60 %</w:t>
            </w:r>
          </w:p>
        </w:tc>
        <w:tc>
          <w:tcPr>
            <w:tcW w:type="dxa" w:w="3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Dépôt à terme (GIC)</w:t>
            </w:r>
          </w:p>
        </w:tc>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Maximale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80 % à 100 %</w:t>
            </w:r>
          </w:p>
        </w:tc>
        <w:tc>
          <w:tcPr>
            <w:tcW w:type="dxa" w:w="3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Moyenne — coût élevé mais stable</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Dépôt overnight / marché</w:t>
            </w:r>
          </w:p>
        </w:tc>
        <w:tc>
          <w:tcPr>
            <w:tcW w:type="dxa" w:w="1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Faible</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Proche du taux marché</w:t>
            </w:r>
          </w:p>
        </w:tc>
        <w:tc>
          <w:tcPr>
            <w:tcW w:type="dxa" w:w="3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Faible — instable</w:t>
            </w:r>
          </w:p>
        </w:tc>
      </w:tr>
    </w:tbl>
    <w:p>
      <w:pPr>
        <w:spacing w:before="200"/>
      </w:pPr>
      <w:r>
        <w:t xml:space="preserve"/>
      </w:r>
    </w:p>
    <w:p>
      <w:pPr>
        <w:pStyle w:val="Heading3"/>
        <w:spacing w:after="100" w:before="200"/>
      </w:pPr>
      <w:r>
        <w:rPr>
          <w:rFonts w:ascii="Arial" w:cs="Arial" w:eastAsia="Arial" w:hAnsi="Arial"/>
          <w:b/>
          <w:bCs/>
          <w:color w:val="1B4F8A"/>
          <w:sz w:val="22"/>
          <w:szCs w:val="22"/>
        </w:rPr>
        <w:t xml:space="preserve">1.5  Frais de service, Cash Management &amp; Produits spécialisés</w:t>
      </w:r>
    </w:p>
    <w:p>
      <w:pPr>
        <w:spacing w:after="80" w:before="80"/>
      </w:pPr>
      <w:r>
        <w:rPr>
          <w:rFonts w:ascii="Arial" w:cs="Arial" w:eastAsia="Arial" w:hAnsi="Arial"/>
          <w:color w:val="404040"/>
          <w:sz w:val="20"/>
          <w:szCs w:val="20"/>
        </w:rPr>
        <w:t xml:space="preserve">Les frais bancaires constituent une source de revenu récurrent à très haute marge (aucun coût en capital réglementaire). Les cartes commerciales sont associées à des frais fixes (abonnement, opérations) et à des intérêts en cas de découvert. Les produits spécialisés (garanties, trade finance, affacturage) combinent des frais fixes et des commissions fondées sur le montant ou la complexité du service.</w:t>
      </w:r>
    </w:p>
    <w:p>
      <w:pPr>
        <w:pStyle w:val="ListParagraph"/>
        <w:numPr>
          <w:ilvl w:val="0"/>
          <w:numId w:val="2"/>
        </w:numPr>
        <w:spacing w:after="60" w:before="60"/>
      </w:pPr>
      <w:r>
        <w:rPr>
          <w:rFonts w:ascii="Arial" w:cs="Arial" w:eastAsia="Arial" w:hAnsi="Arial"/>
          <w:b w:val="false"/>
          <w:bCs w:val="false"/>
          <w:color w:val="404040"/>
          <w:sz w:val="20"/>
          <w:szCs w:val="20"/>
        </w:rPr>
        <w:t xml:space="preserve">Cash management : sweeping, pooling, notional pooling pour groupes corporatifs</w:t>
      </w:r>
    </w:p>
    <w:p>
      <w:pPr>
        <w:pStyle w:val="ListParagraph"/>
        <w:numPr>
          <w:ilvl w:val="0"/>
          <w:numId w:val="2"/>
        </w:numPr>
        <w:spacing w:after="60" w:before="60"/>
      </w:pPr>
      <w:r>
        <w:rPr>
          <w:rFonts w:ascii="Arial" w:cs="Arial" w:eastAsia="Arial" w:hAnsi="Arial"/>
          <w:b w:val="false"/>
          <w:bCs w:val="false"/>
          <w:color w:val="404040"/>
          <w:sz w:val="20"/>
          <w:szCs w:val="20"/>
        </w:rPr>
        <w:t xml:space="preserve">Change (FX) : spread sur le mid-market (0,1 % à 1,5 %), produits de couverture, frais SWIFT</w:t>
      </w:r>
    </w:p>
    <w:p>
      <w:pPr>
        <w:pStyle w:val="ListParagraph"/>
        <w:numPr>
          <w:ilvl w:val="0"/>
          <w:numId w:val="2"/>
        </w:numPr>
        <w:spacing w:after="60" w:before="60"/>
      </w:pPr>
      <w:r>
        <w:rPr>
          <w:rFonts w:ascii="Arial" w:cs="Arial" w:eastAsia="Arial" w:hAnsi="Arial"/>
          <w:b w:val="false"/>
          <w:bCs w:val="false"/>
          <w:color w:val="404040"/>
          <w:sz w:val="20"/>
          <w:szCs w:val="20"/>
        </w:rPr>
        <w:t xml:space="preserve">Cartes commerciales : interchange (1,5 %–2,5 %), cotisation annuelle, intérêts revolving</w:t>
      </w:r>
    </w:p>
    <w:p>
      <w:pPr>
        <w:pStyle w:val="ListParagraph"/>
        <w:numPr>
          <w:ilvl w:val="0"/>
          <w:numId w:val="2"/>
        </w:numPr>
        <w:spacing w:after="60" w:before="60"/>
      </w:pPr>
      <w:r>
        <w:rPr>
          <w:rFonts w:ascii="Arial" w:cs="Arial" w:eastAsia="Arial" w:hAnsi="Arial"/>
          <w:b w:val="false"/>
          <w:bCs w:val="false"/>
          <w:color w:val="404040"/>
          <w:sz w:val="20"/>
          <w:szCs w:val="20"/>
        </w:rPr>
        <w:t xml:space="preserve">Trade finance : lettres de crédit, garanties bancaires — tarification sur risque structurel + complexité</w:t>
      </w:r>
    </w:p>
    <w:p>
      <w:pPr>
        <w:spacing w:after="0" w:before="0"/>
      </w:pPr>
      <w:r>
        <w:br w:type="page"/>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33" w:sz="0"/>
              <w:left w:val="single" w:color="004D33" w:sz="0"/>
              <w:bottom w:val="single" w:color="004D33" w:sz="0"/>
              <w:right w:val="single" w:color="004D33" w:sz="0"/>
            </w:tcBorders>
            <w:shd w:fill="004D33" w:val="clear"/>
            <w:tcMar>
              <w:top w:type="dxa" w:w="200"/>
              <w:left w:type="dxa" w:w="300"/>
              <w:bottom w:type="dxa" w:w="200"/>
              <w:right w:type="dxa" w:w="300"/>
            </w:tcMar>
          </w:tcPr>
          <w:p>
            <w:pPr>
              <w:spacing w:after="0" w:before="0"/>
              <w:jc w:val="center"/>
            </w:pPr>
            <w:r>
              <w:rPr>
                <w:rFonts w:ascii="Arial" w:cs="Arial" w:eastAsia="Arial" w:hAnsi="Arial"/>
                <w:b/>
                <w:bCs/>
                <w:color w:val="C2E0CF"/>
                <w:sz w:val="52"/>
                <w:szCs w:val="52"/>
              </w:rPr>
              <w:t xml:space="preserve">02</w:t>
            </w:r>
          </w:p>
          <w:p>
            <w:pPr>
              <w:spacing w:after="60" w:before="80"/>
              <w:jc w:val="center"/>
            </w:pPr>
            <w:r>
              <w:rPr>
                <w:rFonts w:ascii="Arial" w:cs="Arial" w:eastAsia="Arial" w:hAnsi="Arial"/>
                <w:b/>
                <w:bCs/>
                <w:color w:val="FFFFFF"/>
                <w:sz w:val="34"/>
                <w:szCs w:val="34"/>
              </w:rPr>
              <w:t xml:space="preserve">VARIABLES CLÉS INFLUENÇANT LA TARIFICATION</w:t>
            </w:r>
          </w:p>
          <w:p>
            <w:pPr>
              <w:spacing w:after="0" w:before="0"/>
              <w:jc w:val="center"/>
            </w:pPr>
            <w:r>
              <w:rPr>
                <w:rFonts w:ascii="Arial" w:cs="Arial" w:eastAsia="Arial" w:hAnsi="Arial"/>
                <w:i/>
                <w:iCs/>
                <w:color w:val="E8F5EF"/>
                <w:sz w:val="20"/>
                <w:szCs w:val="20"/>
              </w:rPr>
              <w:t xml:space="preserve">Risque • Valeur • Marché • Comportement</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2.1  Matrice complète des variables de tarification</w:t>
      </w:r>
    </w:p>
    <w:p>
      <w:pPr>
        <w:spacing w:after="80" w:before="80"/>
      </w:pPr>
      <w:r>
        <w:rPr>
          <w:rFonts w:ascii="Arial" w:cs="Arial" w:eastAsia="Arial" w:hAnsi="Arial"/>
          <w:color w:val="404040"/>
          <w:sz w:val="20"/>
          <w:szCs w:val="20"/>
        </w:rPr>
        <w:t xml:space="preserve">La tarification B2B est déterminée par l'interaction de trois familles de variables : variables de risque (crédit, capital, liquidité), variables de valeur (relation, potentiel, rentabilité), et variables de marché (concurrence, secteur, comportement). Une banque mature modélise chacune analytiquement.</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2000"/>
        <w:gridCol w:w="1760"/>
      </w:tblGrid>
      <w:tr>
        <w:trPr>
          <w:tblHeader/>
        </w:trPr>
        <w:tc>
          <w:tcPr>
            <w:tcW w:type="dxa" w:w="20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w:t>
            </w:r>
          </w:p>
        </w:tc>
        <w:tc>
          <w:tcPr>
            <w:tcW w:type="dxa" w:w="20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Définition</w:t>
            </w:r>
          </w:p>
        </w:tc>
        <w:tc>
          <w:tcPr>
            <w:tcW w:type="dxa" w:w="16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Impact prix</w:t>
            </w:r>
          </w:p>
        </w:tc>
        <w:tc>
          <w:tcPr>
            <w:tcW w:type="dxa" w:w="20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Source données</w:t>
            </w:r>
          </w:p>
        </w:tc>
        <w:tc>
          <w:tcPr>
            <w:tcW w:type="dxa" w:w="176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Maturité analytique</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Risque de crédit (PD)</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Probabilité de défaut sur 12 mois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Spread crédit</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Modèles internes, bureau crédit</w:t>
            </w:r>
          </w:p>
        </w:tc>
        <w:tc>
          <w:tcPr>
            <w:tcW w:type="dxa" w:w="1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Élevée (réglementaire IRB)</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LGD (Loss Given Default)</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Perte en cas de défaut vs sûretés</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Spread crédit</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Historique recovery</w:t>
            </w:r>
          </w:p>
        </w:tc>
        <w:tc>
          <w:tcPr>
            <w:tcW w:type="dxa" w:w="1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EAD (Exposure at Default)</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Exposition au moment du défaut</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Charge capital</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CRM, données facilités</w:t>
            </w:r>
          </w:p>
        </w:tc>
        <w:tc>
          <w:tcPr>
            <w:tcW w:type="dxa" w:w="1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RAROC client</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Revenu ajusté / Capital économique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KPI go/no-go</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Système profitabilité</w:t>
            </w:r>
          </w:p>
        </w:tc>
        <w:tc>
          <w:tcPr>
            <w:tcW w:type="dxa" w:w="1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Moyenne–Élevée</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Coût du capital (CoC)</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de rendement requis (12–18 %)</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Plancher de pricing</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Finance / Bâle III</w:t>
            </w:r>
          </w:p>
        </w:tc>
        <w:tc>
          <w:tcPr>
            <w:tcW w:type="dxa" w:w="1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Coût de liquidité (FTP)</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Coût de financement interne par durée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Plancher dépôts/prêts</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ALM / Trésorerie</w:t>
            </w:r>
          </w:p>
        </w:tc>
        <w:tc>
          <w:tcPr>
            <w:tcW w:type="dxa" w:w="1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NIM net</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Marge nette d'intérêts globale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KPI de pilotage portefeuille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Finance / ALM</w:t>
            </w:r>
          </w:p>
        </w:tc>
        <w:tc>
          <w:tcPr>
            <w:tcW w:type="dxa" w:w="1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Rentabilité globale client</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PNB – Coûts alloués (ABC)</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Levier de négociation</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Système profitabilité</w:t>
            </w:r>
          </w:p>
        </w:tc>
        <w:tc>
          <w:tcPr>
            <w:tcW w:type="dxa" w:w="1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Moyenne</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Concurrence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Prix marché produits comparables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Borne supérieure prix</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Mystery shopping, intel</w:t>
            </w:r>
          </w:p>
        </w:tc>
        <w:tc>
          <w:tcPr>
            <w:tcW w:type="dxa" w:w="1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Faible–Moyenne</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Valeur de la relation (WoW)</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Share of wallet Desjardins</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Discount relationnel</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CRM, portefeuille</w:t>
            </w:r>
          </w:p>
        </w:tc>
        <w:tc>
          <w:tcPr>
            <w:tcW w:type="dxa" w:w="1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Moyenne</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Potentiel futur (CLV)</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Croissance anticipée du client</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Ajustement stratégique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prédictif CLV</w:t>
            </w:r>
          </w:p>
        </w:tc>
        <w:tc>
          <w:tcPr>
            <w:tcW w:type="dxa" w:w="1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Élasticité-prix / WTP</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Sensibilité au prix — willingness to pay</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Discrimination tarifaire optimale</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Modèle comportemental</w:t>
            </w:r>
          </w:p>
        </w:tc>
        <w:tc>
          <w:tcPr>
            <w:tcW w:type="dxa" w:w="1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Très faible</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Comportement transactionnel</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Profondeur d'utilisation des produits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Signal cross-sell / churn</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Données transactionnelles</w:t>
            </w:r>
          </w:p>
        </w:tc>
        <w:tc>
          <w:tcPr>
            <w:tcW w:type="dxa" w:w="1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Faible–Moyenne</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Secteur NAICS / cyclicité</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Risque sectoriel, appétit produit</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Ajustement sectoriel</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Classification interne</w:t>
            </w:r>
          </w:p>
        </w:tc>
        <w:tc>
          <w:tcPr>
            <w:tcW w:type="dxa" w:w="1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Moyenne</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Taille de l'entreprise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Revenus, actifs, employés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Segmentation tarifaire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CRM, bureau crédit</w:t>
            </w:r>
          </w:p>
        </w:tc>
        <w:tc>
          <w:tcPr>
            <w:tcW w:type="dxa" w:w="1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Élevée</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2.2  Concurrence &amp; Marchés : la pression sur le risk-based pricing</w:t>
      </w:r>
    </w:p>
    <w:p>
      <w:pPr>
        <w:spacing w:after="80" w:before="80"/>
      </w:pPr>
      <w:r>
        <w:rPr>
          <w:rFonts w:ascii="Arial" w:cs="Arial" w:eastAsia="Arial" w:hAnsi="Arial"/>
          <w:color w:val="404040"/>
          <w:sz w:val="20"/>
          <w:szCs w:val="20"/>
        </w:rPr>
        <w:t xml:space="preserve">Une étude récente de la BIS (Bank for International Settlements) démontre que dans les marchés très compétitifs, les banques peuvent accepter de proposer des taux relativement bas même pour des entreprises plus risquées — atténuant le lien entre risque et prix. Ce phénomène crée une asymétrie dangereuse entre le prix facturé et le risque réel supporté.</w:t>
      </w:r>
    </w:p>
    <w:p>
      <w:pPr>
        <w:spacing w:after="80" w:before="40"/>
        <w:ind w:left="200"/>
      </w:pPr>
      <w:r>
        <w:rPr>
          <w:rFonts w:ascii="Arial" w:cs="Arial" w:eastAsia="Arial" w:hAnsi="Arial"/>
          <w:i/>
          <w:iCs/>
          <w:color w:val="006B6B"/>
          <w:sz w:val="16"/>
          <w:szCs w:val="16"/>
        </w:rPr>
        <w:t xml:space="preserve">📚 Source : BIS Working Paper — Risk-based pricing in competitive lending markets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8"/>
              <w:left w:val="single" w:color="C55A11" w:sz="8"/>
              <w:bottom w:val="single" w:color="C55A11" w:sz="8"/>
              <w:right w:val="single" w:color="C55A11" w:sz="8"/>
            </w:tcBorders>
            <w:shd w:fill="FFF2CC" w:val="clear"/>
            <w:tcMar>
              <w:top w:type="dxa" w:w="120"/>
              <w:left w:type="dxa" w:w="200"/>
              <w:bottom w:type="dxa" w:w="120"/>
              <w:right w:type="dxa" w:w="200"/>
            </w:tcMar>
          </w:tcPr>
          <w:p>
            <w:r>
              <w:rPr>
                <w:rFonts w:ascii="Arial" w:cs="Arial" w:eastAsia="Arial" w:hAnsi="Arial"/>
                <w:b w:val="false"/>
                <w:bCs w:val="false"/>
                <w:color w:val="8B6914"/>
                <w:sz w:val="19"/>
                <w:szCs w:val="19"/>
              </w:rPr>
              <w:t xml:space="preserve">⚠️  Implication pour Desjardins : Dans les secteurs très compétitifs (financement PME Montréal/Québec, solutions de paiement), la pression concurrentielle peut pousser à accorder des taux inadéquats. Les modèles de pricing doivent intégrer la concurrence comme variable mais maintenir un plancher RAROC non négociable.</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2.3  Élasticité-prix et Willingness to Pay — La variable la plus sous-exploitée</w:t>
      </w:r>
    </w:p>
    <w:p>
      <w:pPr>
        <w:spacing w:after="80" w:before="80"/>
      </w:pPr>
      <w:r>
        <w:rPr>
          <w:rFonts w:ascii="Arial" w:cs="Arial" w:eastAsia="Arial" w:hAnsi="Arial"/>
          <w:color w:val="404040"/>
          <w:sz w:val="20"/>
          <w:szCs w:val="20"/>
        </w:rPr>
        <w:t xml:space="preserve">La modélisation de la willingness to pay (WTP) évalue le point de rupture où une hausse de taux ferait fuir le client. En B2B bancaire, cette variable est rarement modélisée explicitement, bien qu'elle soit le levier le plus puissant pour optimiser les revenus.</w:t>
      </w:r>
    </w:p>
    <w:p>
      <w:pPr>
        <w:spacing w:after="80" w:before="40"/>
        <w:ind w:left="200"/>
      </w:pPr>
      <w:r>
        <w:rPr>
          <w:rFonts w:ascii="Arial" w:cs="Arial" w:eastAsia="Arial" w:hAnsi="Arial"/>
          <w:i/>
          <w:iCs/>
          <w:color w:val="006B6B"/>
          <w:sz w:val="16"/>
          <w:szCs w:val="16"/>
        </w:rPr>
        <w:t xml:space="preserve">📚 Source : Can Demir — Developing an End-to-End Credit Pricing Model with ML (Medium)</w:t>
      </w:r>
    </w:p>
    <w:p>
      <w:pPr>
        <w:pStyle w:val="ListParagraph"/>
        <w:numPr>
          <w:ilvl w:val="0"/>
          <w:numId w:val="2"/>
        </w:numPr>
        <w:spacing w:after="60" w:before="60"/>
      </w:pPr>
      <w:r>
        <w:rPr>
          <w:rFonts w:ascii="Arial" w:cs="Arial" w:eastAsia="Arial" w:hAnsi="Arial"/>
          <w:b w:val="false"/>
          <w:bCs w:val="false"/>
          <w:color w:val="404040"/>
          <w:sz w:val="20"/>
          <w:szCs w:val="20"/>
        </w:rPr>
        <w:t xml:space="preserve">Clients peu élastiques (WTP élevée) : relation longue durée, switching costs élevés, produits complexes, peu d'alternatives. Opportunité de hausse tarifaire.</w:t>
      </w:r>
    </w:p>
    <w:p>
      <w:pPr>
        <w:pStyle w:val="ListParagraph"/>
        <w:numPr>
          <w:ilvl w:val="0"/>
          <w:numId w:val="2"/>
        </w:numPr>
        <w:spacing w:after="60" w:before="60"/>
      </w:pPr>
      <w:r>
        <w:rPr>
          <w:rFonts w:ascii="Arial" w:cs="Arial" w:eastAsia="Arial" w:hAnsi="Arial"/>
          <w:b w:val="false"/>
          <w:bCs w:val="false"/>
          <w:color w:val="404040"/>
          <w:sz w:val="20"/>
          <w:szCs w:val="20"/>
        </w:rPr>
        <w:t xml:space="preserve">Clients très élastiques (WTP faible) : relations récentes, produits standardisés, forte présence concurrentielle. Maintenir le taux ou proposer un bundle.</w:t>
      </w:r>
    </w:p>
    <w:p>
      <w:pPr>
        <w:pStyle w:val="ListParagraph"/>
        <w:numPr>
          <w:ilvl w:val="0"/>
          <w:numId w:val="2"/>
        </w:numPr>
        <w:spacing w:after="60" w:before="60"/>
      </w:pPr>
      <w:r>
        <w:rPr>
          <w:rFonts w:ascii="Arial" w:cs="Arial" w:eastAsia="Arial" w:hAnsi="Arial"/>
          <w:b w:val="false"/>
          <w:bCs w:val="false"/>
          <w:color w:val="404040"/>
          <w:sz w:val="20"/>
          <w:szCs w:val="20"/>
        </w:rPr>
        <w:t xml:space="preserve">Segmentation WTP proposée : 'clients analytiques' (peu sensibles au prix, multi-produit) vs 'rate-chasers' (cherchent le meilleur taux sur un seul produit) — stratégies tarifaires radicalement différentes.</w:t>
      </w:r>
    </w:p>
    <w:p>
      <w:pPr>
        <w:pStyle w:val="ListParagraph"/>
        <w:numPr>
          <w:ilvl w:val="0"/>
          <w:numId w:val="2"/>
        </w:numPr>
        <w:spacing w:after="60" w:before="60"/>
      </w:pPr>
      <w:r>
        <w:rPr>
          <w:rFonts w:ascii="Arial" w:cs="Arial" w:eastAsia="Arial" w:hAnsi="Arial"/>
          <w:b w:val="false"/>
          <w:bCs w:val="false"/>
          <w:color w:val="404040"/>
          <w:sz w:val="20"/>
          <w:szCs w:val="20"/>
        </w:rPr>
        <w:t xml:space="preserve">Signal WTP faible : pas de demande de révision depuis 2+ ans, pas de concurrent identifié en CRM, utilisation croissante des produits Desjardins.</w:t>
      </w:r>
    </w:p>
    <w:p>
      <w:pPr>
        <w:spacing w:after="0" w:before="0"/>
      </w:pPr>
      <w:r>
        <w:br w:type="page"/>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33" w:sz="0"/>
              <w:left w:val="single" w:color="004D33" w:sz="0"/>
              <w:bottom w:val="single" w:color="004D33" w:sz="0"/>
              <w:right w:val="single" w:color="004D33" w:sz="0"/>
            </w:tcBorders>
            <w:shd w:fill="004D33" w:val="clear"/>
            <w:tcMar>
              <w:top w:type="dxa" w:w="200"/>
              <w:left w:type="dxa" w:w="300"/>
              <w:bottom w:type="dxa" w:w="200"/>
              <w:right w:type="dxa" w:w="300"/>
            </w:tcMar>
          </w:tcPr>
          <w:p>
            <w:pPr>
              <w:spacing w:after="0" w:before="0"/>
              <w:jc w:val="center"/>
            </w:pPr>
            <w:r>
              <w:rPr>
                <w:rFonts w:ascii="Arial" w:cs="Arial" w:eastAsia="Arial" w:hAnsi="Arial"/>
                <w:b/>
                <w:bCs/>
                <w:color w:val="C2E0CF"/>
                <w:sz w:val="52"/>
                <w:szCs w:val="52"/>
              </w:rPr>
              <w:t xml:space="preserve">03</w:t>
            </w:r>
          </w:p>
          <w:p>
            <w:pPr>
              <w:spacing w:after="60" w:before="80"/>
              <w:jc w:val="center"/>
            </w:pPr>
            <w:r>
              <w:rPr>
                <w:rFonts w:ascii="Arial" w:cs="Arial" w:eastAsia="Arial" w:hAnsi="Arial"/>
                <w:b/>
                <w:bCs/>
                <w:color w:val="FFFFFF"/>
                <w:sz w:val="34"/>
                <w:szCs w:val="34"/>
              </w:rPr>
              <w:t xml:space="preserve">CONCEPTS FONDAMENTAUX</w:t>
            </w:r>
          </w:p>
          <w:p>
            <w:pPr>
              <w:spacing w:after="0" w:before="0"/>
              <w:jc w:val="center"/>
            </w:pPr>
            <w:r>
              <w:rPr>
                <w:rFonts w:ascii="Arial" w:cs="Arial" w:eastAsia="Arial" w:hAnsi="Arial"/>
                <w:i/>
                <w:iCs/>
                <w:color w:val="E8F5EF"/>
                <w:sz w:val="20"/>
                <w:szCs w:val="20"/>
              </w:rPr>
              <w:t xml:space="preserve">Pricing Waterfall • RAROC • NIM • Risk-Based Pricing • Governance</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3.1  Le Pricing Waterfall — Visualiser les fuites de marge</w:t>
      </w:r>
    </w:p>
    <w:p>
      <w:pPr>
        <w:spacing w:after="80" w:before="80"/>
      </w:pPr>
      <w:r>
        <w:rPr>
          <w:rFonts w:ascii="Arial" w:cs="Arial" w:eastAsia="Arial" w:hAnsi="Arial"/>
          <w:color w:val="404040"/>
          <w:sz w:val="20"/>
          <w:szCs w:val="20"/>
        </w:rPr>
        <w:t xml:space="preserve">Le pricing waterfall est un outil d'analyse qui permet de visualiser comment le prix de liste d'un produit/service se dégrade à travers divers escomptes, remises et frais pour arriver au prix final net client. Cette 'cascade de prix' aide à identifier les fuites de marge et les principaux leviers de négociation. En l'absence de cet outil, des 'mauvaises affaires' passent inaperçues — McKinsey documente que des systèmes de gestion des prix non sophistiqués laissent des transactions sous-optimales en place sans que personne ne les identifie.</w:t>
      </w:r>
    </w:p>
    <w:p>
      <w:pPr>
        <w:spacing w:after="80" w:before="40"/>
        <w:ind w:left="200"/>
      </w:pPr>
      <w:r>
        <w:rPr>
          <w:rFonts w:ascii="Arial" w:cs="Arial" w:eastAsia="Arial" w:hAnsi="Arial"/>
          <w:i/>
          <w:iCs/>
          <w:color w:val="006B6B"/>
          <w:sz w:val="16"/>
          <w:szCs w:val="16"/>
        </w:rPr>
        <w:t xml:space="preserve">📚 Source : Cincom — Top 5 Price Waterfall Mistakes | McKinsey — Price to Win</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80"/>
        <w:gridCol w:w="3080"/>
      </w:tblGrid>
      <w:tr>
        <w:trPr>
          <w:tblHeader/>
        </w:trPr>
        <w:tc>
          <w:tcPr>
            <w:tcW w:type="dxa" w:w="36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Étage du Waterfall</w:t>
            </w:r>
          </w:p>
        </w:tc>
        <w:tc>
          <w:tcPr>
            <w:tcW w:type="dxa" w:w="268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Composante</w:t>
            </w:r>
          </w:p>
        </w:tc>
        <w:tc>
          <w:tcPr>
            <w:tcW w:type="dxa" w:w="308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Exemple chiffré (pb)</w:t>
            </w:r>
          </w:p>
        </w:tc>
      </w:tr>
      <w:tr>
        <w:tc>
          <w:tcPr>
            <w:tcW w:type="dxa" w:w="36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7"/>
                <w:szCs w:val="17"/>
              </w:rPr>
              <w:t xml:space="preserve">① Taux plancher technique (FTP)</w:t>
            </w:r>
          </w:p>
        </w:tc>
        <w:tc>
          <w:tcPr>
            <w:tcW w:type="dxa" w:w="268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color w:val="404040"/>
                <w:sz w:val="17"/>
                <w:szCs w:val="17"/>
              </w:rPr>
              <w:t xml:space="preserve">Coût de financement interne</w:t>
            </w:r>
          </w:p>
        </w:tc>
        <w:tc>
          <w:tcPr>
            <w:tcW w:type="dxa" w:w="308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pPr>
              <w:jc w:val="center"/>
            </w:pPr>
            <w:r>
              <w:rPr>
                <w:rFonts w:ascii="Arial" w:cs="Arial" w:eastAsia="Arial" w:hAnsi="Arial"/>
                <w:b/>
                <w:bCs/>
                <w:color w:val="004D33"/>
                <w:sz w:val="17"/>
                <w:szCs w:val="17"/>
              </w:rPr>
              <w:t xml:space="preserve">150 pb</w:t>
            </w:r>
          </w:p>
        </w:tc>
      </w:tr>
      <w:tr>
        <w:tc>
          <w:tcPr>
            <w:tcW w:type="dxa" w:w="36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7"/>
                <w:szCs w:val="17"/>
              </w:rPr>
              <w:t xml:space="preserve">② + Coût du risque (Expected Loss)</w:t>
            </w:r>
          </w:p>
        </w:tc>
        <w:tc>
          <w:tcPr>
            <w:tcW w:type="dxa" w:w="268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color w:val="404040"/>
                <w:sz w:val="17"/>
                <w:szCs w:val="17"/>
              </w:rPr>
              <w:t xml:space="preserve">PD × LGD × EAD annualisé</w:t>
            </w:r>
          </w:p>
        </w:tc>
        <w:tc>
          <w:tcPr>
            <w:tcW w:type="dxa" w:w="308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pPr>
              <w:jc w:val="center"/>
            </w:pPr>
            <w:r>
              <w:rPr>
                <w:rFonts w:ascii="Arial" w:cs="Arial" w:eastAsia="Arial" w:hAnsi="Arial"/>
                <w:b/>
                <w:bCs/>
                <w:color w:val="004D33"/>
                <w:sz w:val="17"/>
                <w:szCs w:val="17"/>
              </w:rPr>
              <w:t xml:space="preserve">+ 80 pb</w:t>
            </w:r>
          </w:p>
        </w:tc>
      </w:tr>
      <w:tr>
        <w:tc>
          <w:tcPr>
            <w:tcW w:type="dxa" w:w="36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7"/>
                <w:szCs w:val="17"/>
              </w:rPr>
              <w:t xml:space="preserve">③ + Charge en capital réglementaire</w:t>
            </w:r>
          </w:p>
        </w:tc>
        <w:tc>
          <w:tcPr>
            <w:tcW w:type="dxa" w:w="268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color w:val="404040"/>
                <w:sz w:val="17"/>
                <w:szCs w:val="17"/>
              </w:rPr>
              <w:t xml:space="preserve">RWA × CoC (12–18 %)</w:t>
            </w:r>
          </w:p>
        </w:tc>
        <w:tc>
          <w:tcPr>
            <w:tcW w:type="dxa" w:w="308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pPr>
              <w:jc w:val="center"/>
            </w:pPr>
            <w:r>
              <w:rPr>
                <w:rFonts w:ascii="Arial" w:cs="Arial" w:eastAsia="Arial" w:hAnsi="Arial"/>
                <w:b/>
                <w:bCs/>
                <w:color w:val="004D33"/>
                <w:sz w:val="17"/>
                <w:szCs w:val="17"/>
              </w:rPr>
              <w:t xml:space="preserve">+ 60 pb</w:t>
            </w:r>
          </w:p>
        </w:tc>
      </w:tr>
      <w:tr>
        <w:tc>
          <w:tcPr>
            <w:tcW w:type="dxa" w:w="3600"/>
            <w:tcBorders>
              <w:top w:val="single" w:color="D9D9D9" w:sz="4"/>
              <w:left w:val="single" w:color="D9D9D9" w:sz="4"/>
              <w:bottom w:val="single" w:color="D9D9D9" w:sz="4"/>
              <w:right w:val="single" w:color="D9D9D9" w:sz="4"/>
            </w:tcBorders>
            <w:shd w:fill="C2E0CF" w:val="clear"/>
            <w:tcMar>
              <w:top w:type="dxa" w:w="80"/>
              <w:left w:type="dxa" w:w="120"/>
              <w:bottom w:type="dxa" w:w="80"/>
              <w:right w:type="dxa" w:w="120"/>
            </w:tcMar>
          </w:tcPr>
          <w:p>
            <w:r>
              <w:rPr>
                <w:rFonts w:ascii="Arial" w:cs="Arial" w:eastAsia="Arial" w:hAnsi="Arial"/>
                <w:b/>
                <w:bCs/>
                <w:color w:val="004D33"/>
                <w:sz w:val="17"/>
                <w:szCs w:val="17"/>
              </w:rPr>
              <w:t xml:space="preserve">④ = Taux de break-even RAROC = CoC</w:t>
            </w:r>
          </w:p>
        </w:tc>
        <w:tc>
          <w:tcPr>
            <w:tcW w:type="dxa" w:w="2680"/>
            <w:tcBorders>
              <w:top w:val="single" w:color="D9D9D9" w:sz="4"/>
              <w:left w:val="single" w:color="D9D9D9" w:sz="4"/>
              <w:bottom w:val="single" w:color="D9D9D9" w:sz="4"/>
              <w:right w:val="single" w:color="D9D9D9" w:sz="4"/>
            </w:tcBorders>
            <w:shd w:fill="C2E0CF" w:val="clear"/>
            <w:tcMar>
              <w:top w:type="dxa" w:w="80"/>
              <w:left w:type="dxa" w:w="120"/>
              <w:bottom w:type="dxa" w:w="80"/>
              <w:right w:type="dxa" w:w="120"/>
            </w:tcMar>
          </w:tcPr>
          <w:p>
            <w:r>
              <w:rPr>
                <w:rFonts w:ascii="Arial" w:cs="Arial" w:eastAsia="Arial" w:hAnsi="Arial"/>
                <w:color w:val="404040"/>
                <w:sz w:val="17"/>
                <w:szCs w:val="17"/>
              </w:rPr>
              <w:t xml:space="preserve">Plancher absolu — pas de négo possible</w:t>
            </w:r>
          </w:p>
        </w:tc>
        <w:tc>
          <w:tcPr>
            <w:tcW w:type="dxa" w:w="3080"/>
            <w:tcBorders>
              <w:top w:val="single" w:color="D9D9D9" w:sz="4"/>
              <w:left w:val="single" w:color="D9D9D9" w:sz="4"/>
              <w:bottom w:val="single" w:color="D9D9D9" w:sz="4"/>
              <w:right w:val="single" w:color="D9D9D9" w:sz="4"/>
            </w:tcBorders>
            <w:shd w:fill="C2E0CF" w:val="clear"/>
            <w:tcMar>
              <w:top w:type="dxa" w:w="80"/>
              <w:left w:type="dxa" w:w="120"/>
              <w:bottom w:type="dxa" w:w="80"/>
              <w:right w:type="dxa" w:w="120"/>
            </w:tcMar>
          </w:tcPr>
          <w:p>
            <w:pPr>
              <w:jc w:val="center"/>
            </w:pPr>
            <w:r>
              <w:rPr>
                <w:rFonts w:ascii="Arial" w:cs="Arial" w:eastAsia="Arial" w:hAnsi="Arial"/>
                <w:b/>
                <w:bCs/>
                <w:color w:val="004D33"/>
                <w:sz w:val="17"/>
                <w:szCs w:val="17"/>
              </w:rPr>
              <w:t xml:space="preserve">= 290 pb</w:t>
            </w:r>
          </w:p>
        </w:tc>
      </w:tr>
      <w:tr>
        <w:tc>
          <w:tcPr>
            <w:tcW w:type="dxa" w:w="36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olor w:val="1B4F8A"/>
                <w:sz w:val="17"/>
                <w:szCs w:val="17"/>
              </w:rPr>
              <w:t xml:space="preserve">⑤ + Marge d'exploitation</w:t>
            </w:r>
          </w:p>
        </w:tc>
        <w:tc>
          <w:tcPr>
            <w:tcW w:type="dxa" w:w="268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color w:val="404040"/>
                <w:sz w:val="17"/>
                <w:szCs w:val="17"/>
              </w:rPr>
              <w:t xml:space="preserve">Frais admin, origination, suivi</w:t>
            </w:r>
          </w:p>
        </w:tc>
        <w:tc>
          <w:tcPr>
            <w:tcW w:type="dxa" w:w="308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pPr>
              <w:jc w:val="center"/>
            </w:pPr>
            <w:r>
              <w:rPr>
                <w:rFonts w:ascii="Arial" w:cs="Arial" w:eastAsia="Arial" w:hAnsi="Arial"/>
                <w:b/>
                <w:bCs/>
                <w:color w:val="1B4F8A"/>
                <w:sz w:val="17"/>
                <w:szCs w:val="17"/>
              </w:rPr>
              <w:t xml:space="preserve">+ 25 pb</w:t>
            </w:r>
          </w:p>
        </w:tc>
      </w:tr>
      <w:tr>
        <w:tc>
          <w:tcPr>
            <w:tcW w:type="dxa" w:w="36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olor w:val="1B4F8A"/>
                <w:sz w:val="17"/>
                <w:szCs w:val="17"/>
              </w:rPr>
              <w:t xml:space="preserve">⑥ + Prime de marché (concurrence)</w:t>
            </w:r>
          </w:p>
        </w:tc>
        <w:tc>
          <w:tcPr>
            <w:tcW w:type="dxa" w:w="268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color w:val="404040"/>
                <w:sz w:val="17"/>
                <w:szCs w:val="17"/>
              </w:rPr>
              <w:t xml:space="preserve">Positionnement concurrentiel</w:t>
            </w:r>
          </w:p>
        </w:tc>
        <w:tc>
          <w:tcPr>
            <w:tcW w:type="dxa" w:w="308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pPr>
              <w:jc w:val="center"/>
            </w:pPr>
            <w:r>
              <w:rPr>
                <w:rFonts w:ascii="Arial" w:cs="Arial" w:eastAsia="Arial" w:hAnsi="Arial"/>
                <w:b/>
                <w:bCs/>
                <w:color w:val="1B4F8A"/>
                <w:sz w:val="17"/>
                <w:szCs w:val="17"/>
              </w:rPr>
              <w:t xml:space="preserve">+ 30 pb</w:t>
            </w:r>
          </w:p>
        </w:tc>
      </w:tr>
      <w:tr>
        <w:tc>
          <w:tcPr>
            <w:tcW w:type="dxa" w:w="36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r>
              <w:rPr>
                <w:rFonts w:ascii="Arial" w:cs="Arial" w:eastAsia="Arial" w:hAnsi="Arial"/>
                <w:b/>
                <w:bCs/>
                <w:color w:val="8B6914"/>
                <w:sz w:val="17"/>
                <w:szCs w:val="17"/>
              </w:rPr>
              <w:t xml:space="preserve">⑦ = Rack Rate (taux affiché initial)</w:t>
            </w:r>
          </w:p>
        </w:tc>
        <w:tc>
          <w:tcPr>
            <w:tcW w:type="dxa" w:w="26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r>
              <w:rPr>
                <w:rFonts w:ascii="Arial" w:cs="Arial" w:eastAsia="Arial" w:hAnsi="Arial"/>
                <w:color w:val="404040"/>
                <w:sz w:val="17"/>
                <w:szCs w:val="17"/>
              </w:rPr>
              <w:t xml:space="preserve">Taux d'offre avant toute négociation</w:t>
            </w:r>
          </w:p>
        </w:tc>
        <w:tc>
          <w:tcPr>
            <w:tcW w:type="dxa" w:w="3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pPr>
              <w:jc w:val="center"/>
            </w:pPr>
            <w:r>
              <w:rPr>
                <w:rFonts w:ascii="Arial" w:cs="Arial" w:eastAsia="Arial" w:hAnsi="Arial"/>
                <w:b/>
                <w:bCs/>
                <w:color w:val="8B6914"/>
                <w:sz w:val="17"/>
                <w:szCs w:val="17"/>
              </w:rPr>
              <w:t xml:space="preserve">= 345 pb</w:t>
            </w:r>
          </w:p>
        </w:tc>
      </w:tr>
      <w:tr>
        <w:tc>
          <w:tcPr>
            <w:tcW w:type="dxa" w:w="36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r>
              <w:rPr>
                <w:rFonts w:ascii="Arial" w:cs="Arial" w:eastAsia="Arial" w:hAnsi="Arial"/>
                <w:b/>
                <w:bCs/>
                <w:color w:val="C55A11"/>
                <w:sz w:val="17"/>
                <w:szCs w:val="17"/>
              </w:rPr>
              <w:t xml:space="preserve">⑧ − Remise relationnelle (WoW)</w:t>
            </w:r>
          </w:p>
        </w:tc>
        <w:tc>
          <w:tcPr>
            <w:tcW w:type="dxa" w:w="26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r>
              <w:rPr>
                <w:rFonts w:ascii="Arial" w:cs="Arial" w:eastAsia="Arial" w:hAnsi="Arial"/>
                <w:color w:val="404040"/>
                <w:sz w:val="17"/>
                <w:szCs w:val="17"/>
              </w:rPr>
              <w:t xml:space="preserve">Discount portefeuille global justifié</w:t>
            </w:r>
          </w:p>
        </w:tc>
        <w:tc>
          <w:tcPr>
            <w:tcW w:type="dxa" w:w="30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bCs/>
                <w:color w:val="C55A11"/>
                <w:sz w:val="17"/>
                <w:szCs w:val="17"/>
              </w:rPr>
              <w:t xml:space="preserve">− 25 pb</w:t>
            </w:r>
          </w:p>
        </w:tc>
      </w:tr>
      <w:tr>
        <w:tc>
          <w:tcPr>
            <w:tcW w:type="dxa" w:w="36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r>
              <w:rPr>
                <w:rFonts w:ascii="Arial" w:cs="Arial" w:eastAsia="Arial" w:hAnsi="Arial"/>
                <w:b/>
                <w:bCs/>
                <w:color w:val="C55A11"/>
                <w:sz w:val="17"/>
                <w:szCs w:val="17"/>
              </w:rPr>
              <w:t xml:space="preserve">⑨ − Concession discrétionnaire DC</w:t>
            </w:r>
          </w:p>
        </w:tc>
        <w:tc>
          <w:tcPr>
            <w:tcW w:type="dxa" w:w="26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r>
              <w:rPr>
                <w:rFonts w:ascii="Arial" w:cs="Arial" w:eastAsia="Arial" w:hAnsi="Arial"/>
                <w:color w:val="404040"/>
                <w:sz w:val="17"/>
                <w:szCs w:val="17"/>
              </w:rPr>
              <w:t xml:space="preserve">Pouvoir du directeur de compte</w:t>
            </w:r>
          </w:p>
        </w:tc>
        <w:tc>
          <w:tcPr>
            <w:tcW w:type="dxa" w:w="30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bCs/>
                <w:color w:val="C55A11"/>
                <w:sz w:val="17"/>
                <w:szCs w:val="17"/>
              </w:rPr>
              <w:t xml:space="preserve">− 15 pb</w:t>
            </w:r>
          </w:p>
        </w:tc>
      </w:tr>
      <w:tr>
        <w:tc>
          <w:tcPr>
            <w:tcW w:type="dxa" w:w="360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r>
              <w:rPr>
                <w:rFonts w:ascii="Arial" w:cs="Arial" w:eastAsia="Arial" w:hAnsi="Arial"/>
                <w:b/>
                <w:bCs/>
                <w:color w:val="C00000"/>
                <w:sz w:val="17"/>
                <w:szCs w:val="17"/>
              </w:rPr>
              <w:t xml:space="preserve">⑩ = Taux signé final (net client)</w:t>
            </w:r>
          </w:p>
        </w:tc>
        <w:tc>
          <w:tcPr>
            <w:tcW w:type="dxa" w:w="268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r>
              <w:rPr>
                <w:rFonts w:ascii="Arial" w:cs="Arial" w:eastAsia="Arial" w:hAnsi="Arial"/>
                <w:color w:val="404040"/>
                <w:sz w:val="17"/>
                <w:szCs w:val="17"/>
              </w:rPr>
              <w:t xml:space="preserve">Taux effectif payé par le client</w:t>
            </w:r>
          </w:p>
        </w:tc>
        <w:tc>
          <w:tcPr>
            <w:tcW w:type="dxa" w:w="308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 305 pb</w:t>
            </w:r>
          </w:p>
        </w:tc>
      </w:tr>
      <w:tr>
        <w:tc>
          <w:tcPr>
            <w:tcW w:type="dxa" w:w="3600"/>
            <w:tcBorders>
              <w:top w:val="single" w:color="D9D9D9" w:sz="4"/>
              <w:left w:val="single" w:color="D9D9D9" w:sz="4"/>
              <w:bottom w:val="single" w:color="D9D9D9" w:sz="4"/>
              <w:right w:val="single" w:color="D9D9D9" w:sz="4"/>
            </w:tcBorders>
            <w:shd w:fill="D9D9D9" w:val="clear"/>
            <w:tcMar>
              <w:top w:type="dxa" w:w="80"/>
              <w:left w:type="dxa" w:w="120"/>
              <w:bottom w:type="dxa" w:w="80"/>
              <w:right w:type="dxa" w:w="120"/>
            </w:tcMar>
          </w:tcPr>
          <w:p>
            <w:r>
              <w:rPr>
                <w:rFonts w:ascii="Arial" w:cs="Arial" w:eastAsia="Arial" w:hAnsi="Arial"/>
                <w:b/>
                <w:bCs/>
                <w:color w:val="404040"/>
                <w:sz w:val="17"/>
                <w:szCs w:val="17"/>
              </w:rPr>
              <w:t xml:space="preserve">⑪ RAROC réalisé vs cible</w:t>
            </w:r>
          </w:p>
        </w:tc>
        <w:tc>
          <w:tcPr>
            <w:tcW w:type="dxa" w:w="2680"/>
            <w:tcBorders>
              <w:top w:val="single" w:color="D9D9D9" w:sz="4"/>
              <w:left w:val="single" w:color="D9D9D9" w:sz="4"/>
              <w:bottom w:val="single" w:color="D9D9D9" w:sz="4"/>
              <w:right w:val="single" w:color="D9D9D9" w:sz="4"/>
            </w:tcBorders>
            <w:shd w:fill="D9D9D9" w:val="clear"/>
            <w:tcMar>
              <w:top w:type="dxa" w:w="80"/>
              <w:left w:type="dxa" w:w="120"/>
              <w:bottom w:type="dxa" w:w="80"/>
              <w:right w:type="dxa" w:w="120"/>
            </w:tcMar>
          </w:tcPr>
          <w:p>
            <w:r>
              <w:rPr>
                <w:rFonts w:ascii="Arial" w:cs="Arial" w:eastAsia="Arial" w:hAnsi="Arial"/>
                <w:color w:val="404040"/>
                <w:sz w:val="17"/>
                <w:szCs w:val="17"/>
              </w:rPr>
              <w:t xml:space="preserve">Acceptable si RAROC &gt; CoC</w:t>
            </w:r>
          </w:p>
        </w:tc>
        <w:tc>
          <w:tcPr>
            <w:tcW w:type="dxa" w:w="3080"/>
            <w:tcBorders>
              <w:top w:val="single" w:color="D9D9D9" w:sz="4"/>
              <w:left w:val="single" w:color="D9D9D9" w:sz="4"/>
              <w:bottom w:val="single" w:color="D9D9D9" w:sz="4"/>
              <w:right w:val="single" w:color="D9D9D9" w:sz="4"/>
            </w:tcBorders>
            <w:shd w:fill="D9D9D9" w:val="clear"/>
            <w:tcMar>
              <w:top w:type="dxa" w:w="80"/>
              <w:left w:type="dxa" w:w="120"/>
              <w:bottom w:type="dxa" w:w="80"/>
              <w:right w:type="dxa" w:w="120"/>
            </w:tcMar>
          </w:tcPr>
          <w:p>
            <w:pPr>
              <w:jc w:val="center"/>
            </w:pPr>
            <w:r>
              <w:rPr>
                <w:rFonts w:ascii="Arial" w:cs="Arial" w:eastAsia="Arial" w:hAnsi="Arial"/>
                <w:b/>
                <w:bCs/>
                <w:color w:val="404040"/>
                <w:sz w:val="17"/>
                <w:szCs w:val="17"/>
              </w:rPr>
              <w:t xml:space="preserve">~14 % — ATTENTION</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3.2  RAROC — Risk-Adjusted Return on Capital</w:t>
      </w:r>
    </w:p>
    <w:p>
      <w:pPr>
        <w:spacing w:after="80" w:before="80"/>
      </w:pPr>
      <w:r>
        <w:rPr>
          <w:rFonts w:ascii="Arial" w:cs="Arial" w:eastAsia="Arial" w:hAnsi="Arial"/>
          <w:color w:val="404040"/>
          <w:sz w:val="20"/>
          <w:szCs w:val="20"/>
        </w:rPr>
        <w:t xml:space="preserve">Le RAROC est le KPI central de la tarification bancaire ajustée au risque. Il ajuste le rendement attendu d'un produit financier en fonction des pertes attendues et du coût du capital, permettant ainsi de comparer la rentabilité entre projets ou clients. Un projet doit générer un RAROC supérieur à un seuil cible; plus le RAROC attendu est faible, plus le taux peut être augmenté pour compenser le risque.</w:t>
      </w:r>
    </w:p>
    <w:p>
      <w:pPr>
        <w:spacing w:after="80" w:before="40"/>
        <w:ind w:left="200"/>
      </w:pPr>
      <w:r>
        <w:rPr>
          <w:rFonts w:ascii="Arial" w:cs="Arial" w:eastAsia="Arial" w:hAnsi="Arial"/>
          <w:i/>
          <w:iCs/>
          <w:color w:val="006B6B"/>
          <w:sz w:val="16"/>
          <w:szCs w:val="16"/>
        </w:rPr>
        <w:t xml:space="preserve">📚 Source : Investopedia — Understanding RAROC: Formula and Benefits of Risk-Adjusted Return on Capital</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04A" w:sz="8"/>
              <w:left w:val="single" w:color="00704A" w:sz="8"/>
              <w:bottom w:val="single" w:color="00704A" w:sz="8"/>
              <w:right w:val="single" w:color="00704A" w:sz="8"/>
            </w:tcBorders>
            <w:shd w:fill="E8F5EF" w:val="clear"/>
            <w:tcMar>
              <w:top w:type="dxa" w:w="120"/>
              <w:left w:type="dxa" w:w="200"/>
              <w:bottom w:type="dxa" w:w="120"/>
              <w:right w:type="dxa" w:w="200"/>
            </w:tcMar>
          </w:tcPr>
          <w:p>
            <w:r>
              <w:rPr>
                <w:rFonts w:ascii="Arial" w:cs="Arial" w:eastAsia="Arial" w:hAnsi="Arial"/>
                <w:b w:val="false"/>
                <w:bCs w:val="false"/>
                <w:color w:val="004D33"/>
                <w:sz w:val="19"/>
                <w:szCs w:val="19"/>
              </w:rPr>
              <w:t xml:space="preserve">📐  Formule RAROC = (Revenus – Coûts d'exploitation – Pertes attendues + Revenu sur capital) / Capital économique utilisé
Seuil minimal acceptable = Coût du capital (Cost of Equity) : typiquement 12 % à 18 % pour une grande banque canadienne
Si RAROC &lt; CoC → transaction détruite de valeur → refus ou renegociation obligatoire</w:t>
            </w:r>
          </w:p>
        </w:tc>
      </w:tr>
    </w:tbl>
    <w:p>
      <w:pPr>
        <w:spacing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360"/>
      </w:tblGrid>
      <w:tr>
        <w:trPr>
          <w:tblHeader/>
        </w:trPr>
        <w:tc>
          <w:tcPr>
            <w:tcW w:type="dxa" w:w="26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Composante RAROC</w:t>
            </w:r>
          </w:p>
        </w:tc>
        <w:tc>
          <w:tcPr>
            <w:tcW w:type="dxa" w:w="24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Définition précise</w:t>
            </w:r>
          </w:p>
        </w:tc>
        <w:tc>
          <w:tcPr>
            <w:tcW w:type="dxa" w:w="20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Source de calcul</w:t>
            </w:r>
          </w:p>
        </w:tc>
        <w:tc>
          <w:tcPr>
            <w:tcW w:type="dxa" w:w="236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Difficulté d'allocation</w:t>
            </w:r>
          </w:p>
        </w:tc>
      </w:tr>
      <w:t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Revenus d'intérêts nets</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client − FTP (Funds Transfer Price)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Système ALM</w:t>
            </w:r>
          </w:p>
        </w:tc>
        <w:tc>
          <w:tcPr>
            <w:tcW w:type="dxa" w:w="2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w:t>
            </w:r>
          </w:p>
        </w:tc>
      </w:tr>
      <w:tr>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Commissions et frais (fees)</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Revenus non-intérêts de la relation</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Comptabilité produit</w:t>
            </w:r>
          </w:p>
        </w:tc>
        <w:tc>
          <w:tcPr>
            <w:tcW w:type="dxa" w:w="2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Faible</w:t>
            </w:r>
          </w:p>
        </w:tc>
      </w:tr>
      <w:t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Pertes attendues (EL)</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PD × LGD × EAD annualisé — provision statistique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Modèles IRB de crédit</w:t>
            </w:r>
          </w:p>
        </w:tc>
        <w:tc>
          <w:tcPr>
            <w:tcW w:type="dxa" w:w="2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Moyenne</w:t>
            </w:r>
          </w:p>
        </w:tc>
      </w:tr>
      <w:tr>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Coûts opérationnels alloués</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Portion des coûts fixes alloués au client (ABC)</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Activity-Based Costing</w:t>
            </w:r>
          </w:p>
        </w:tc>
        <w:tc>
          <w:tcPr>
            <w:tcW w:type="dxa" w:w="2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Capital économique</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Capital pour pertes inattendues (UL = percentile risque)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de capital interne</w:t>
            </w:r>
          </w:p>
        </w:tc>
        <w:tc>
          <w:tcPr>
            <w:tcW w:type="dxa" w:w="2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Revenu cross-sell lié</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Contribution des produits connexes (FX, fees, paie)</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Système de profitabilité</w:t>
            </w:r>
          </w:p>
        </w:tc>
        <w:tc>
          <w:tcPr>
            <w:tcW w:type="dxa" w:w="2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Très élevée</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3.3  NIM — Net Interest Margin</w:t>
      </w:r>
    </w:p>
    <w:p>
      <w:pPr>
        <w:spacing w:after="80" w:before="80"/>
      </w:pPr>
      <w:r>
        <w:rPr>
          <w:rFonts w:ascii="Arial" w:cs="Arial" w:eastAsia="Arial" w:hAnsi="Arial"/>
          <w:color w:val="404040"/>
          <w:sz w:val="20"/>
          <w:szCs w:val="20"/>
        </w:rPr>
        <w:t xml:space="preserve">La marge nette d'intérêt (NIM) mesure l'efficacité avec laquelle une banque transforme les fonds captés (dépôts, marchés) en crédit facturé. C'est le ratio (intérêts perçus − intérêts versés) / encours moyen porteur d'intérêt. Un NIM élevé indique une bonne profitabilité sur les portefeuilles de crédit et dépôt.</w:t>
      </w:r>
    </w:p>
    <w:p>
      <w:pPr>
        <w:spacing w:after="80" w:before="40"/>
        <w:ind w:left="200"/>
      </w:pPr>
      <w:r>
        <w:rPr>
          <w:rFonts w:ascii="Arial" w:cs="Arial" w:eastAsia="Arial" w:hAnsi="Arial"/>
          <w:i/>
          <w:iCs/>
          <w:color w:val="006B6B"/>
          <w:sz w:val="16"/>
          <w:szCs w:val="16"/>
        </w:rPr>
        <w:t xml:space="preserve">📚 Source : Investopedia — Understanding Net Interest Margin</w:t>
      </w:r>
    </w:p>
    <w:p>
      <w:pPr>
        <w:pStyle w:val="ListParagraph"/>
        <w:numPr>
          <w:ilvl w:val="0"/>
          <w:numId w:val="2"/>
        </w:numPr>
        <w:spacing w:after="60" w:before="60"/>
      </w:pPr>
      <w:r>
        <w:rPr>
          <w:rFonts w:ascii="Arial" w:cs="Arial" w:eastAsia="Arial" w:hAnsi="Arial"/>
          <w:b w:val="false"/>
          <w:bCs w:val="false"/>
          <w:color w:val="404040"/>
          <w:sz w:val="20"/>
          <w:szCs w:val="20"/>
        </w:rPr>
        <w:t xml:space="preserve">NIM typique grande banque canadienne : 1,6 % à 2,2 % (portefeuille total)</w:t>
      </w:r>
    </w:p>
    <w:p>
      <w:pPr>
        <w:pStyle w:val="ListParagraph"/>
        <w:numPr>
          <w:ilvl w:val="0"/>
          <w:numId w:val="2"/>
        </w:numPr>
        <w:spacing w:after="60" w:before="60"/>
      </w:pPr>
      <w:r>
        <w:rPr>
          <w:rFonts w:ascii="Arial" w:cs="Arial" w:eastAsia="Arial" w:hAnsi="Arial"/>
          <w:b w:val="false"/>
          <w:bCs w:val="false"/>
          <w:color w:val="404040"/>
          <w:sz w:val="20"/>
          <w:szCs w:val="20"/>
        </w:rPr>
        <w:t xml:space="preserve">NIM portefeuille commercial : généralement supérieur au retail (primes de risque et complexité)</w:t>
      </w:r>
    </w:p>
    <w:p>
      <w:pPr>
        <w:pStyle w:val="ListParagraph"/>
        <w:numPr>
          <w:ilvl w:val="0"/>
          <w:numId w:val="2"/>
        </w:numPr>
        <w:spacing w:after="60" w:before="60"/>
      </w:pPr>
      <w:r>
        <w:rPr>
          <w:rFonts w:ascii="Arial" w:cs="Arial" w:eastAsia="Arial" w:hAnsi="Arial"/>
          <w:b w:val="false"/>
          <w:bCs w:val="false"/>
          <w:color w:val="404040"/>
          <w:sz w:val="20"/>
          <w:szCs w:val="20"/>
        </w:rPr>
        <w:t xml:space="preserve">Pressions à la baisse : compétition fintechs, coût Bâle IV, normalisation des taux en 2025–2026</w:t>
      </w:r>
    </w:p>
    <w:p>
      <w:pPr>
        <w:pStyle w:val="ListParagraph"/>
        <w:numPr>
          <w:ilvl w:val="0"/>
          <w:numId w:val="2"/>
        </w:numPr>
        <w:spacing w:after="60" w:before="60"/>
      </w:pPr>
      <w:r>
        <w:rPr>
          <w:rFonts w:ascii="Arial" w:cs="Arial" w:eastAsia="Arial" w:hAnsi="Arial"/>
          <w:b w:val="false"/>
          <w:bCs w:val="false"/>
          <w:color w:val="404040"/>
          <w:sz w:val="20"/>
          <w:szCs w:val="20"/>
        </w:rPr>
        <w:t xml:space="preserve">Levier analytique : optimiser simultanément le pricing actif (crédit) et passif (dépôts) pour maximiser le NIM global</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3.4  Risk-Based Pricing</w:t>
      </w:r>
    </w:p>
    <w:p>
      <w:pPr>
        <w:spacing w:after="80" w:before="80"/>
      </w:pPr>
      <w:r>
        <w:rPr>
          <w:rFonts w:ascii="Arial" w:cs="Arial" w:eastAsia="Arial" w:hAnsi="Arial"/>
          <w:color w:val="404040"/>
          <w:sz w:val="20"/>
          <w:szCs w:val="20"/>
        </w:rPr>
        <w:t xml:space="preserve">Principe selon lequel chaque client se voit offrir un taux directement proportionnel à son profil de risque individuel. Les emprunteurs jugés plus risqués (taux de défaut plus élevé) se voient facturer un taux majoré, tandis que ceux jugés plus sûrs obtiennent des taux plus bas.</w:t>
      </w:r>
    </w:p>
    <w:p>
      <w:pPr>
        <w:spacing w:after="80" w:before="40"/>
        <w:ind w:left="200"/>
      </w:pPr>
      <w:r>
        <w:rPr>
          <w:rFonts w:ascii="Arial" w:cs="Arial" w:eastAsia="Arial" w:hAnsi="Arial"/>
          <w:i/>
          <w:iCs/>
          <w:color w:val="006B6B"/>
          <w:sz w:val="16"/>
          <w:szCs w:val="16"/>
        </w:rPr>
        <w:t xml:space="preserve">📚 Source : Investopedia — Understanding Risk-Based Pricing in Credit Markets</w:t>
      </w:r>
    </w:p>
    <w:p>
      <w:pPr>
        <w:pStyle w:val="ListParagraph"/>
        <w:numPr>
          <w:ilvl w:val="0"/>
          <w:numId w:val="2"/>
        </w:numPr>
        <w:spacing w:after="60" w:before="60"/>
      </w:pPr>
      <w:r>
        <w:rPr>
          <w:rFonts w:ascii="Arial" w:cs="Arial" w:eastAsia="Arial" w:hAnsi="Arial"/>
          <w:b w:val="false"/>
          <w:bCs w:val="false"/>
          <w:color w:val="404040"/>
          <w:sz w:val="20"/>
          <w:szCs w:val="20"/>
        </w:rPr>
        <w:t xml:space="preserve">Avantage : améliore l'anti-sélection (adverse selection), améliore la rentabilité du portefeuille</w:t>
      </w:r>
    </w:p>
    <w:p>
      <w:pPr>
        <w:pStyle w:val="ListParagraph"/>
        <w:numPr>
          <w:ilvl w:val="0"/>
          <w:numId w:val="2"/>
        </w:numPr>
        <w:spacing w:after="60" w:before="60"/>
      </w:pPr>
      <w:r>
        <w:rPr>
          <w:rFonts w:ascii="Arial" w:cs="Arial" w:eastAsia="Arial" w:hAnsi="Arial"/>
          <w:b w:val="false"/>
          <w:bCs w:val="false"/>
          <w:color w:val="404040"/>
          <w:sz w:val="20"/>
          <w:szCs w:val="20"/>
        </w:rPr>
        <w:t xml:space="preserve">Réglementation US : des notices de risque (Risk-Based Pricing Notices, Dodd-Frank) imposent la transparence. Au Canada, équivalent partiel via lignes directrices BSIF.</w:t>
      </w:r>
    </w:p>
    <w:p>
      <w:pPr>
        <w:pStyle w:val="ListParagraph"/>
        <w:numPr>
          <w:ilvl w:val="0"/>
          <w:numId w:val="2"/>
        </w:numPr>
        <w:spacing w:after="60" w:before="60"/>
      </w:pPr>
      <w:r>
        <w:rPr>
          <w:rFonts w:ascii="Arial" w:cs="Arial" w:eastAsia="Arial" w:hAnsi="Arial"/>
          <w:b w:val="false"/>
          <w:bCs w:val="false"/>
          <w:color w:val="404040"/>
          <w:sz w:val="20"/>
          <w:szCs w:val="20"/>
        </w:rPr>
        <w:t xml:space="preserve">Risque éthique : vérifier que les modèles n'utilisent pas de critères sensibles corrélés à des groupes protégés.</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3.5  Relationship Pricing</w:t>
      </w:r>
    </w:p>
    <w:p>
      <w:pPr>
        <w:spacing w:after="80" w:before="80"/>
      </w:pPr>
      <w:r>
        <w:rPr>
          <w:rFonts w:ascii="Arial" w:cs="Arial" w:eastAsia="Arial" w:hAnsi="Arial"/>
          <w:color w:val="404040"/>
          <w:sz w:val="20"/>
          <w:szCs w:val="20"/>
        </w:rPr>
        <w:t xml:space="preserve">Le relationship pricing récompense l'ensemble de la relation client (multi-produits, ancienneté, engagement) plutôt que le seul taux d'un produit. Les banques qui 'considèrent la valeur totale de la relation, pas seulement le rendement d'un seul produit' parviennent à fidéliser les meilleurs clients et à protéger leurs marges.</w:t>
      </w:r>
    </w:p>
    <w:p>
      <w:pPr>
        <w:spacing w:after="80" w:before="40"/>
        <w:ind w:left="200"/>
      </w:pPr>
      <w:r>
        <w:rPr>
          <w:rFonts w:ascii="Arial" w:cs="Arial" w:eastAsia="Arial" w:hAnsi="Arial"/>
          <w:i/>
          <w:iCs/>
          <w:color w:val="006B6B"/>
          <w:sz w:val="16"/>
          <w:szCs w:val="16"/>
        </w:rPr>
        <w:t xml:space="preserve">📚 Source : PCBB — Using Relationship Pricing to Boost Profitability and Loyalty (2026)</w:t>
      </w:r>
    </w:p>
    <w:p>
      <w:pPr>
        <w:spacing w:after="80" w:before="80"/>
      </w:pPr>
      <w:r>
        <w:rPr>
          <w:rFonts w:ascii="Arial" w:cs="Arial" w:eastAsia="Arial" w:hAnsi="Arial"/>
          <w:color w:val="404040"/>
          <w:sz w:val="20"/>
          <w:szCs w:val="20"/>
        </w:rPr>
        <w:t xml:space="preserve">Les clients détenant plusieurs produits sont plus difficiles à perdre et plus rentables. Une PME qui cumule crédit, dépôts et paie peut se voir proposer un taux de prêt plus avantageux qu'un client mono-produit. Ce 'double bénéfice' — fidélisation + marge — est le fondement du pricing relationnel.</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3.6  Tarification dynamique</w:t>
      </w:r>
    </w:p>
    <w:p>
      <w:pPr>
        <w:spacing w:after="80" w:before="80"/>
      </w:pPr>
      <w:r>
        <w:rPr>
          <w:rFonts w:ascii="Arial" w:cs="Arial" w:eastAsia="Arial" w:hAnsi="Arial"/>
          <w:color w:val="404040"/>
          <w:sz w:val="20"/>
          <w:szCs w:val="20"/>
        </w:rPr>
        <w:t xml:space="preserve">Si le yield management est courant dans l'hôtellerie ou le transport, les banques tardent encore à appliquer de véritables modèles dynamiques. Certains acteurs explorent ce terrain : adapter automatiquement les taux aux variations de coûts de fonds ou aux actions des concurrents. La Revue Banque note que le secteur bancaire reste en retard sur d'autres industries pour ce type d'approche.</w:t>
      </w:r>
    </w:p>
    <w:p>
      <w:pPr>
        <w:spacing w:after="80" w:before="40"/>
        <w:ind w:left="200"/>
      </w:pPr>
      <w:r>
        <w:rPr>
          <w:rFonts w:ascii="Arial" w:cs="Arial" w:eastAsia="Arial" w:hAnsi="Arial"/>
          <w:i/>
          <w:iCs/>
          <w:color w:val="006B6B"/>
          <w:sz w:val="16"/>
          <w:szCs w:val="16"/>
        </w:rPr>
        <w:t xml:space="preserve">📚 Source : Revue Banque — Le pricing dans la banque, un modèle à revoir</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3.7  Pricing Governance — Lutter contre la fragmentation</w:t>
      </w:r>
    </w:p>
    <w:p>
      <w:pPr>
        <w:spacing w:after="80" w:before="80"/>
      </w:pPr>
      <w:r>
        <w:rPr>
          <w:rFonts w:ascii="Arial" w:cs="Arial" w:eastAsia="Arial" w:hAnsi="Arial"/>
          <w:color w:val="404040"/>
          <w:sz w:val="20"/>
          <w:szCs w:val="20"/>
        </w:rPr>
        <w:t xml:space="preserve">McKinsey documente que dans beaucoup d'institutions, la tarification est fragmentée sans directives claires du siège, et chaque agence négocie à sa guise. Cela crée des écarts de prix importants et des 'mauvaises affaires' laissées en place. Une gouvernance solide inclut des directives centrales, des comités de prix, un suivi des performances et des systèmes de contrôle pour éviter les 'fuites'.</w:t>
      </w:r>
    </w:p>
    <w:p>
      <w:pPr>
        <w:spacing w:after="80" w:before="40"/>
        <w:ind w:left="200"/>
      </w:pPr>
      <w:r>
        <w:rPr>
          <w:rFonts w:ascii="Arial" w:cs="Arial" w:eastAsia="Arial" w:hAnsi="Arial"/>
          <w:i/>
          <w:iCs/>
          <w:color w:val="006B6B"/>
          <w:sz w:val="16"/>
          <w:szCs w:val="16"/>
        </w:rPr>
        <w:t xml:space="preserve">📚 Source : McKinsey — Price to Win: Create Value Through Smarter Pricing</w:t>
      </w:r>
    </w:p>
    <w:p>
      <w:pPr>
        <w:pStyle w:val="ListParagraph"/>
        <w:numPr>
          <w:ilvl w:val="0"/>
          <w:numId w:val="2"/>
        </w:numPr>
        <w:spacing w:after="60" w:before="60"/>
      </w:pPr>
      <w:r>
        <w:rPr>
          <w:rFonts w:ascii="Arial" w:cs="Arial" w:eastAsia="Arial" w:hAnsi="Arial"/>
          <w:b w:val="false"/>
          <w:bCs w:val="false"/>
          <w:color w:val="404040"/>
          <w:sz w:val="20"/>
          <w:szCs w:val="20"/>
        </w:rPr>
        <w:t xml:space="preserve">Matrice d'autorisation de concession : seuils par niveau hiérarchique (DC → gestionnaire → comité)</w:t>
      </w:r>
    </w:p>
    <w:p>
      <w:pPr>
        <w:pStyle w:val="ListParagraph"/>
        <w:numPr>
          <w:ilvl w:val="0"/>
          <w:numId w:val="2"/>
        </w:numPr>
        <w:spacing w:after="60" w:before="60"/>
      </w:pPr>
      <w:r>
        <w:rPr>
          <w:rFonts w:ascii="Arial" w:cs="Arial" w:eastAsia="Arial" w:hAnsi="Arial"/>
          <w:b w:val="false"/>
          <w:bCs w:val="false"/>
          <w:color w:val="404040"/>
          <w:sz w:val="20"/>
          <w:szCs w:val="20"/>
        </w:rPr>
        <w:t xml:space="preserve">Plancher RAROC non négociable : aucune transaction signée sous le CoC sans approbation comité</w:t>
      </w:r>
    </w:p>
    <w:p>
      <w:pPr>
        <w:pStyle w:val="ListParagraph"/>
        <w:numPr>
          <w:ilvl w:val="0"/>
          <w:numId w:val="2"/>
        </w:numPr>
        <w:spacing w:after="60" w:before="60"/>
      </w:pPr>
      <w:r>
        <w:rPr>
          <w:rFonts w:ascii="Arial" w:cs="Arial" w:eastAsia="Arial" w:hAnsi="Arial"/>
          <w:b w:val="false"/>
          <w:bCs w:val="false"/>
          <w:color w:val="404040"/>
          <w:sz w:val="20"/>
          <w:szCs w:val="20"/>
        </w:rPr>
        <w:t xml:space="preserve">Audit trail documenté : chaque concession avec justification client tracée dans le CRM</w:t>
      </w:r>
    </w:p>
    <w:p>
      <w:pPr>
        <w:pStyle w:val="ListParagraph"/>
        <w:numPr>
          <w:ilvl w:val="0"/>
          <w:numId w:val="2"/>
        </w:numPr>
        <w:spacing w:after="60" w:before="60"/>
      </w:pPr>
      <w:r>
        <w:rPr>
          <w:rFonts w:ascii="Arial" w:cs="Arial" w:eastAsia="Arial" w:hAnsi="Arial"/>
          <w:b w:val="false"/>
          <w:bCs w:val="false"/>
          <w:color w:val="404040"/>
          <w:sz w:val="20"/>
          <w:szCs w:val="20"/>
        </w:rPr>
        <w:t xml:space="preserve">Comité tarifaire transversal : Finance + Risque + Commercial + Conformité — revue trimestrielle</w:t>
      </w:r>
    </w:p>
    <w:p>
      <w:pPr>
        <w:pStyle w:val="ListParagraph"/>
        <w:numPr>
          <w:ilvl w:val="0"/>
          <w:numId w:val="2"/>
        </w:numPr>
        <w:spacing w:after="60" w:before="60"/>
      </w:pPr>
      <w:r>
        <w:rPr>
          <w:rFonts w:ascii="Arial" w:cs="Arial" w:eastAsia="Arial" w:hAnsi="Arial"/>
          <w:b w:val="false"/>
          <w:bCs w:val="false"/>
          <w:color w:val="404040"/>
          <w:sz w:val="20"/>
          <w:szCs w:val="20"/>
        </w:rPr>
        <w:t xml:space="preserve">Reporting anti-fuite : rapport automatisé sur les spreads moyens vs rack rates, taux de concession par région</w:t>
      </w:r>
    </w:p>
    <w:p>
      <w:pPr>
        <w:spacing w:after="0" w:before="0"/>
      </w:pPr>
      <w:r>
        <w:br w:type="page"/>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33" w:sz="0"/>
              <w:left w:val="single" w:color="004D33" w:sz="0"/>
              <w:bottom w:val="single" w:color="004D33" w:sz="0"/>
              <w:right w:val="single" w:color="004D33" w:sz="0"/>
            </w:tcBorders>
            <w:shd w:fill="004D33" w:val="clear"/>
            <w:tcMar>
              <w:top w:type="dxa" w:w="200"/>
              <w:left w:type="dxa" w:w="300"/>
              <w:bottom w:type="dxa" w:w="200"/>
              <w:right w:type="dxa" w:w="300"/>
            </w:tcMar>
          </w:tcPr>
          <w:p>
            <w:pPr>
              <w:spacing w:after="0" w:before="0"/>
              <w:jc w:val="center"/>
            </w:pPr>
            <w:r>
              <w:rPr>
                <w:rFonts w:ascii="Arial" w:cs="Arial" w:eastAsia="Arial" w:hAnsi="Arial"/>
                <w:b/>
                <w:bCs/>
                <w:color w:val="C2E0CF"/>
                <w:sz w:val="52"/>
                <w:szCs w:val="52"/>
              </w:rPr>
              <w:t xml:space="preserve">04</w:t>
            </w:r>
          </w:p>
          <w:p>
            <w:pPr>
              <w:spacing w:after="60" w:before="80"/>
              <w:jc w:val="center"/>
            </w:pPr>
            <w:r>
              <w:rPr>
                <w:rFonts w:ascii="Arial" w:cs="Arial" w:eastAsia="Arial" w:hAnsi="Arial"/>
                <w:b/>
                <w:bCs/>
                <w:color w:val="FFFFFF"/>
                <w:sz w:val="34"/>
                <w:szCs w:val="34"/>
              </w:rPr>
              <w:t xml:space="preserve">IA &amp; ANALYTIQUE AVANCÉE</w:t>
            </w:r>
          </w:p>
          <w:p>
            <w:pPr>
              <w:spacing w:after="0" w:before="0"/>
              <w:jc w:val="center"/>
            </w:pPr>
            <w:r>
              <w:rPr>
                <w:rFonts w:ascii="Arial" w:cs="Arial" w:eastAsia="Arial" w:hAnsi="Arial"/>
                <w:i/>
                <w:iCs/>
                <w:color w:val="E8F5EF"/>
                <w:sz w:val="20"/>
                <w:szCs w:val="20"/>
              </w:rPr>
              <w:t xml:space="preserve">Machine Learning • IA Générative • Optimisation • Reinforcement Learning</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4.1  Machine Learning — Architecture en deux sous-modèles</w:t>
      </w:r>
    </w:p>
    <w:p>
      <w:pPr>
        <w:spacing w:after="80" w:before="80"/>
      </w:pPr>
      <w:r>
        <w:rPr>
          <w:rFonts w:ascii="Arial" w:cs="Arial" w:eastAsia="Arial" w:hAnsi="Arial"/>
          <w:color w:val="404040"/>
          <w:sz w:val="20"/>
          <w:szCs w:val="20"/>
        </w:rPr>
        <w:t xml:space="preserve">Une banque mature peut séparer l'analyse de pricing en deux sous-modèles complémentaires : un modèle d'acceptation (marketing) qui prédit si le client souscrira à un prêt à tel taux, et un modèle de risque (crédit) qui estime la probabilité de défaut. En combinant ces prédictions, on calcule le taux 'optimal' qui maximise le profit espéré.</w:t>
      </w:r>
    </w:p>
    <w:p>
      <w:pPr>
        <w:spacing w:after="80" w:before="40"/>
        <w:ind w:left="200"/>
      </w:pPr>
      <w:r>
        <w:rPr>
          <w:rFonts w:ascii="Arial" w:cs="Arial" w:eastAsia="Arial" w:hAnsi="Arial"/>
          <w:i/>
          <w:iCs/>
          <w:color w:val="006B6B"/>
          <w:sz w:val="16"/>
          <w:szCs w:val="16"/>
        </w:rPr>
        <w:t xml:space="preserve">📚 Source : Can Demir — Developing an End-to-End Credit Pricing Model with ML (Medium)</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8"/>
              <w:left w:val="single" w:color="1B4F8A" w:sz="8"/>
              <w:bottom w:val="single" w:color="1B4F8A" w:sz="8"/>
              <w:right w:val="single" w:color="1B4F8A" w:sz="8"/>
            </w:tcBorders>
            <w:shd w:fill="D6E4F0" w:val="clear"/>
            <w:tcMar>
              <w:top w:type="dxa" w:w="120"/>
              <w:left w:type="dxa" w:w="200"/>
              <w:bottom w:type="dxa" w:w="120"/>
              <w:right w:type="dxa" w:w="200"/>
            </w:tcMar>
          </w:tcPr>
          <w:p>
            <w:r>
              <w:rPr>
                <w:rFonts w:ascii="Arial" w:cs="Arial" w:eastAsia="Arial" w:hAnsi="Arial"/>
                <w:b w:val="false"/>
                <w:bCs w:val="false"/>
                <w:color w:val="1B4F8A"/>
                <w:sz w:val="19"/>
                <w:szCs w:val="19"/>
              </w:rPr>
              <w:t xml:space="preserve">📊  Formule du profit espéré = P(Acceptation) × [Taux − Coûts − PD × LGD]
L'optimisation consiste à trouver le taux T* qui maximise cette fonction, sous contrainte RAROC ≥ CoC.
Ce taux 'optimal' est différent pour chaque client selon son profil de risque ET son élasticité estimée.</w:t>
            </w:r>
          </w:p>
        </w:tc>
      </w:tr>
    </w:tbl>
    <w:p>
      <w:pPr>
        <w:spacing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80"/>
        <w:gridCol w:w="2480"/>
      </w:tblGrid>
      <w:tr>
        <w:trPr>
          <w:tblHeader/>
        </w:trPr>
        <w:tc>
          <w:tcPr>
            <w:tcW w:type="dxa" w:w="24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Algorithme ML</w:t>
            </w:r>
          </w:p>
        </w:tc>
        <w:tc>
          <w:tcPr>
            <w:tcW w:type="dxa" w:w="22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Application pricing</w:t>
            </w:r>
          </w:p>
        </w:tc>
        <w:tc>
          <w:tcPr>
            <w:tcW w:type="dxa" w:w="228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Avantages</w:t>
            </w:r>
          </w:p>
        </w:tc>
        <w:tc>
          <w:tcPr>
            <w:tcW w:type="dxa" w:w="248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Limites</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Gradient Boosting (XGBoost, LightGBM)</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Scoring risque, propension, élasticité</w:t>
            </w:r>
          </w:p>
        </w:tc>
        <w:tc>
          <w:tcPr>
            <w:tcW w:type="dxa" w:w="22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Précision élevée, données manquantes gérées</w:t>
            </w:r>
          </w:p>
        </w:tc>
        <w:tc>
          <w:tcPr>
            <w:tcW w:type="dxa" w:w="2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Interprétabilité limitée → SHAP requis</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Random Forest</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Segmentation, anomalies tarifaires</w:t>
            </w:r>
          </w:p>
        </w:tc>
        <w:tc>
          <w:tcPr>
            <w:tcW w:type="dxa" w:w="22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Robuste, peu de paramétrage</w:t>
            </w:r>
          </w:p>
        </w:tc>
        <w:tc>
          <w:tcPr>
            <w:tcW w:type="dxa" w:w="24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Moins précis que GBM sur grands volumes</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Régression logistique (LASSO)</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Modèles réglementaires risque</w:t>
            </w:r>
          </w:p>
        </w:tc>
        <w:tc>
          <w:tcPr>
            <w:tcW w:type="dxa" w:w="22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Interprétable, validable BSIF</w:t>
            </w:r>
          </w:p>
        </w:tc>
        <w:tc>
          <w:tcPr>
            <w:tcW w:type="dxa" w:w="2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Capture mal les non-linéarités</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Réseaux de neurones (MLP, Transformers)</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NLP transactions, modèles multi-produit</w:t>
            </w:r>
          </w:p>
        </w:tc>
        <w:tc>
          <w:tcPr>
            <w:tcW w:type="dxa" w:w="22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Performance maximale</w:t>
            </w:r>
          </w:p>
        </w:tc>
        <w:tc>
          <w:tcPr>
            <w:tcW w:type="dxa" w:w="24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Boîte noire, coût validation réglementaire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K-Means / DBSCAN</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Micro-segmentation WTP</w:t>
            </w:r>
          </w:p>
        </w:tc>
        <w:tc>
          <w:tcPr>
            <w:tcW w:type="dxa" w:w="22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Découverte de segments non intuitifs</w:t>
            </w:r>
          </w:p>
        </w:tc>
        <w:tc>
          <w:tcPr>
            <w:tcW w:type="dxa" w:w="2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Interprétation nécessite expertise métier</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Isolation Forest</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Détection sous-tarification anormale</w:t>
            </w:r>
          </w:p>
        </w:tc>
        <w:tc>
          <w:tcPr>
            <w:tcW w:type="dxa" w:w="22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Non supervisé, détection outliers</w:t>
            </w:r>
          </w:p>
        </w:tc>
        <w:tc>
          <w:tcPr>
            <w:tcW w:type="dxa" w:w="24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Taux faux positifs à calibrer</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Survival Analysis (Cox, AFT)</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Durée avant attrition ou défaut</w:t>
            </w:r>
          </w:p>
        </w:tc>
        <w:tc>
          <w:tcPr>
            <w:tcW w:type="dxa" w:w="22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Modélise l'aspect temporel</w:t>
            </w:r>
          </w:p>
        </w:tc>
        <w:tc>
          <w:tcPr>
            <w:tcW w:type="dxa" w:w="2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Moins familier des équipes data classiques</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4.2  IA Générative — Modèle GAN de BCG pour le pricing commercial</w:t>
      </w:r>
    </w:p>
    <w:p>
      <w:pPr>
        <w:spacing w:after="80" w:before="80"/>
      </w:pPr>
      <w:r>
        <w:rPr>
          <w:rFonts w:ascii="Arial" w:cs="Arial" w:eastAsia="Arial" w:hAnsi="Arial"/>
          <w:color w:val="404040"/>
          <w:sz w:val="20"/>
          <w:szCs w:val="20"/>
        </w:rPr>
        <w:t xml:space="preserve">BCG décrit un cas concret où deux 'agents' neuronaux (un client virtuel et un banquier virtuel) s'affrontent via un GAN (Generative Adversarial Network) pour trouver les tarifs optimaux. Le client virtuel génère des probabilités d'acceptation pour divers taux proposés, et le banquier virtuel choisit le taux qui optimise le retour ajusté au risque. Au final, le modèle a permis d'augmenter significativement le rendement escompté.</w:t>
      </w:r>
    </w:p>
    <w:p>
      <w:pPr>
        <w:spacing w:after="80" w:before="40"/>
        <w:ind w:left="200"/>
      </w:pPr>
      <w:r>
        <w:rPr>
          <w:rFonts w:ascii="Arial" w:cs="Arial" w:eastAsia="Arial" w:hAnsi="Arial"/>
          <w:i/>
          <w:iCs/>
          <w:color w:val="006B6B"/>
          <w:sz w:val="16"/>
          <w:szCs w:val="16"/>
        </w:rPr>
        <w:t xml:space="preserve">📚 Source : BCG — AI-Driven Commercial Loan Pricing (media-publications.bcg.com)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8"/>
              <w:left w:val="single" w:color="C55A11" w:sz="8"/>
              <w:bottom w:val="single" w:color="C55A11" w:sz="8"/>
              <w:right w:val="single" w:color="C55A11" w:sz="8"/>
            </w:tcBorders>
            <w:shd w:fill="EDE4F5" w:val="clear"/>
            <w:tcMar>
              <w:top w:type="dxa" w:w="120"/>
              <w:left w:type="dxa" w:w="200"/>
              <w:bottom w:type="dxa" w:w="120"/>
              <w:right w:type="dxa" w:w="200"/>
            </w:tcMar>
          </w:tcPr>
          <w:p>
            <w:r>
              <w:rPr>
                <w:rFonts w:ascii="Arial" w:cs="Arial" w:eastAsia="Arial" w:hAnsi="Arial"/>
                <w:b w:val="false"/>
                <w:bCs w:val="false"/>
                <w:color w:val="5B2C6F"/>
                <w:sz w:val="19"/>
                <w:szCs w:val="19"/>
              </w:rPr>
              <w:t xml:space="preserve">🤖  Architecture GAN de BCG :
• Agent 1 (banquier virtuel) : propose un taux T pour un client C
• Agent 2 (client virtuel) : génère P(Acceptation | T, profil C)
• Boucle d'optimisation : le banquier ajuste T pour maximiser E[Profit] = P(A) × Marge(T)
• Résultat : convergence vers le taux optimal personnalisé pour chaque client
• Impact documenté : augmentation significative du rendement escompté sans perte de volume</w:t>
            </w:r>
          </w:p>
        </w:tc>
      </w:tr>
    </w:tbl>
    <w:p>
      <w:pPr>
        <w:spacing w:before="150"/>
      </w:pPr>
      <w:r>
        <w:t xml:space="preserve"/>
      </w:r>
    </w:p>
    <w:p>
      <w:pPr>
        <w:spacing w:after="80" w:before="80"/>
      </w:pPr>
      <w:r>
        <w:rPr>
          <w:rFonts w:ascii="Arial" w:cs="Arial" w:eastAsia="Arial" w:hAnsi="Arial"/>
          <w:color w:val="404040"/>
          <w:sz w:val="20"/>
          <w:szCs w:val="20"/>
        </w:rPr>
        <w:t xml:space="preserve">Plus généralement, les grandes banques explorent des copilotes basés sur l'IA générative (type LLM) pour assister les chargés d'affaires — synthèse de données client, préparation d'argumentaires, suggestions d'offres — sans exposer directement les clients à un chatbot.</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4.3  Optimisation mathématique sous contraintes</w:t>
      </w:r>
    </w:p>
    <w:p>
      <w:pPr>
        <w:spacing w:after="80" w:before="80"/>
      </w:pPr>
      <w:r>
        <w:rPr>
          <w:rFonts w:ascii="Arial" w:cs="Arial" w:eastAsia="Arial" w:hAnsi="Arial"/>
          <w:color w:val="404040"/>
          <w:sz w:val="20"/>
          <w:szCs w:val="20"/>
        </w:rPr>
        <w:t xml:space="preserve">L'optimisation mathématique permet de formaliser en programme linéaire ou non linéaire l'objectif de maximiser la marge globale d'un portefeuille de clients en modifiant certains tarifs dans une fourchette donnée, tout en respectant les budgets de dépôt ou de risque.</w:t>
      </w:r>
    </w:p>
    <w:p>
      <w:pPr>
        <w:pStyle w:val="ListParagraph"/>
        <w:numPr>
          <w:ilvl w:val="0"/>
          <w:numId w:val="2"/>
        </w:numPr>
        <w:spacing w:after="60" w:before="60"/>
      </w:pPr>
      <w:r>
        <w:rPr>
          <w:rFonts w:ascii="Arial" w:cs="Arial" w:eastAsia="Arial" w:hAnsi="Arial"/>
          <w:b w:val="false"/>
          <w:bCs w:val="false"/>
          <w:color w:val="404040"/>
          <w:sz w:val="20"/>
          <w:szCs w:val="20"/>
        </w:rPr>
        <w:t xml:space="preserve">MILP (Mixed-Integer Linear Programming) : optimisation portefeuille avec contraintes réglementaires hard</w:t>
      </w:r>
    </w:p>
    <w:p>
      <w:pPr>
        <w:pStyle w:val="ListParagraph"/>
        <w:numPr>
          <w:ilvl w:val="0"/>
          <w:numId w:val="2"/>
        </w:numPr>
        <w:spacing w:after="60" w:before="60"/>
      </w:pPr>
      <w:r>
        <w:rPr>
          <w:rFonts w:ascii="Arial" w:cs="Arial" w:eastAsia="Arial" w:hAnsi="Arial"/>
          <w:b w:val="false"/>
          <w:bCs w:val="false"/>
          <w:color w:val="404040"/>
          <w:sz w:val="20"/>
          <w:szCs w:val="20"/>
        </w:rPr>
        <w:t xml:space="preserve">Optimisation stochastique : gestion de l'incertitude des taux et du risque dans les décisions de pricing</w:t>
      </w:r>
    </w:p>
    <w:p>
      <w:pPr>
        <w:pStyle w:val="ListParagraph"/>
        <w:numPr>
          <w:ilvl w:val="0"/>
          <w:numId w:val="2"/>
        </w:numPr>
        <w:spacing w:after="60" w:before="60"/>
      </w:pPr>
      <w:r>
        <w:rPr>
          <w:rFonts w:ascii="Arial" w:cs="Arial" w:eastAsia="Arial" w:hAnsi="Arial"/>
          <w:b w:val="false"/>
          <w:bCs w:val="false"/>
          <w:color w:val="404040"/>
          <w:sz w:val="20"/>
          <w:szCs w:val="20"/>
        </w:rPr>
        <w:t xml:space="preserve">Optimisation multi-objectifs (Pareto) : équilibrage entre maximisation revenu et minimisation risque / churn</w:t>
      </w:r>
    </w:p>
    <w:p>
      <w:pPr>
        <w:pStyle w:val="ListParagraph"/>
        <w:numPr>
          <w:ilvl w:val="0"/>
          <w:numId w:val="2"/>
        </w:numPr>
        <w:spacing w:after="60" w:before="60"/>
      </w:pPr>
      <w:r>
        <w:rPr>
          <w:rFonts w:ascii="Arial" w:cs="Arial" w:eastAsia="Arial" w:hAnsi="Arial"/>
          <w:b w:val="false"/>
          <w:bCs w:val="false"/>
          <w:color w:val="404040"/>
          <w:sz w:val="20"/>
          <w:szCs w:val="20"/>
        </w:rPr>
        <w:t xml:space="preserve">Simulation Monte Carlo : distribution des RAROC sous scénarios de stress économique</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4.4  Segmentation avancée — Au-delà des segments classiques</w:t>
      </w:r>
    </w:p>
    <w:p>
      <w:pPr>
        <w:spacing w:after="80" w:before="80"/>
      </w:pPr>
      <w:r>
        <w:rPr>
          <w:rFonts w:ascii="Arial" w:cs="Arial" w:eastAsia="Arial" w:hAnsi="Arial"/>
          <w:color w:val="404040"/>
          <w:sz w:val="20"/>
          <w:szCs w:val="20"/>
        </w:rPr>
        <w:t xml:space="preserve">Au lieu des segments classiques (taille, industrie), les méthodes de clustering ML et les scores composites permettent de créer des catégories de clients à traiter différemment en prix. La segmentation WTP est particulièrement précieuse.</w:t>
      </w:r>
    </w:p>
    <w:p>
      <w:pPr>
        <w:pStyle w:val="ListParagraph"/>
        <w:numPr>
          <w:ilvl w:val="0"/>
          <w:numId w:val="2"/>
        </w:numPr>
        <w:spacing w:after="60" w:before="60"/>
      </w:pPr>
      <w:r>
        <w:rPr>
          <w:rFonts w:ascii="Arial" w:cs="Arial" w:eastAsia="Arial" w:hAnsi="Arial"/>
          <w:b w:val="false"/>
          <w:bCs w:val="false"/>
          <w:color w:val="404040"/>
          <w:sz w:val="20"/>
          <w:szCs w:val="20"/>
        </w:rPr>
        <w:t xml:space="preserve">Clients analytiques : peu sensibles au prix, relations multi-produit, switching costs élevés → stratégie de valeur ajoutée</w:t>
      </w:r>
    </w:p>
    <w:p>
      <w:pPr>
        <w:pStyle w:val="ListParagraph"/>
        <w:numPr>
          <w:ilvl w:val="0"/>
          <w:numId w:val="2"/>
        </w:numPr>
        <w:spacing w:after="60" w:before="60"/>
      </w:pPr>
      <w:r>
        <w:rPr>
          <w:rFonts w:ascii="Arial" w:cs="Arial" w:eastAsia="Arial" w:hAnsi="Arial"/>
          <w:b w:val="false"/>
          <w:bCs w:val="false"/>
          <w:color w:val="404040"/>
          <w:sz w:val="20"/>
          <w:szCs w:val="20"/>
        </w:rPr>
        <w:t xml:space="preserve">Rate-chasers : cherchent le meilleur taux pour un seul produit → stratégie de bundle ou d'abandon si non rentable</w:t>
      </w:r>
    </w:p>
    <w:p>
      <w:pPr>
        <w:pStyle w:val="ListParagraph"/>
        <w:numPr>
          <w:ilvl w:val="0"/>
          <w:numId w:val="2"/>
        </w:numPr>
        <w:spacing w:after="60" w:before="60"/>
      </w:pPr>
      <w:r>
        <w:rPr>
          <w:rFonts w:ascii="Arial" w:cs="Arial" w:eastAsia="Arial" w:hAnsi="Arial"/>
          <w:b w:val="false"/>
          <w:bCs w:val="false"/>
          <w:color w:val="404040"/>
          <w:sz w:val="20"/>
          <w:szCs w:val="20"/>
        </w:rPr>
        <w:t xml:space="preserve">Clients stratégiques en croissance : CLV élevée anticipée → investissement tarifaire justifié</w:t>
      </w:r>
    </w:p>
    <w:p>
      <w:pPr>
        <w:pStyle w:val="ListParagraph"/>
        <w:numPr>
          <w:ilvl w:val="0"/>
          <w:numId w:val="2"/>
        </w:numPr>
        <w:spacing w:after="60" w:before="60"/>
      </w:pPr>
      <w:r>
        <w:rPr>
          <w:rFonts w:ascii="Arial" w:cs="Arial" w:eastAsia="Arial" w:hAnsi="Arial"/>
          <w:b w:val="false"/>
          <w:bCs w:val="false"/>
          <w:color w:val="404040"/>
          <w:sz w:val="20"/>
          <w:szCs w:val="20"/>
        </w:rPr>
        <w:t xml:space="preserve">Clients en déclin ou sous-rentables : RAROC négatif → renegociation ou désinvestissement</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4.5  Inférence causale — Mesurer l'impact réel des prix</w:t>
      </w:r>
    </w:p>
    <w:p>
      <w:pPr>
        <w:spacing w:after="80" w:before="80"/>
      </w:pPr>
      <w:r>
        <w:rPr>
          <w:rFonts w:ascii="Arial" w:cs="Arial" w:eastAsia="Arial" w:hAnsi="Arial"/>
          <w:color w:val="404040"/>
          <w:sz w:val="20"/>
          <w:szCs w:val="20"/>
        </w:rPr>
        <w:t xml:space="preserve">Les méthodes causales permettent de mesurer l'impact RÉEL des changements de prix, en séparant l'effet causal du bruit. Elles sont critiques pour éviter des conclusions erronées dans les tests de pricing.</w:t>
      </w:r>
    </w:p>
    <w:p>
      <w:pPr>
        <w:pStyle w:val="ListParagraph"/>
        <w:numPr>
          <w:ilvl w:val="0"/>
          <w:numId w:val="2"/>
        </w:numPr>
        <w:spacing w:after="60" w:before="60"/>
      </w:pPr>
      <w:r>
        <w:rPr>
          <w:rFonts w:ascii="Arial" w:cs="Arial" w:eastAsia="Arial" w:hAnsi="Arial"/>
          <w:b w:val="false"/>
          <w:bCs w:val="false"/>
          <w:color w:val="404040"/>
          <w:sz w:val="20"/>
          <w:szCs w:val="20"/>
        </w:rPr>
        <w:t xml:space="preserve">Difference-in-Differences (DiD) : groupe traité (taux modifié) vs groupe contrôle temporel</w:t>
      </w:r>
    </w:p>
    <w:p>
      <w:pPr>
        <w:pStyle w:val="ListParagraph"/>
        <w:numPr>
          <w:ilvl w:val="0"/>
          <w:numId w:val="2"/>
        </w:numPr>
        <w:spacing w:after="60" w:before="60"/>
      </w:pPr>
      <w:r>
        <w:rPr>
          <w:rFonts w:ascii="Arial" w:cs="Arial" w:eastAsia="Arial" w:hAnsi="Arial"/>
          <w:b w:val="false"/>
          <w:bCs w:val="false"/>
          <w:color w:val="404040"/>
          <w:sz w:val="20"/>
          <w:szCs w:val="20"/>
        </w:rPr>
        <w:t xml:space="preserve">Regression Discontinuity Design (RDD) : exploiter les seuils de pricing comme expériences naturelles</w:t>
      </w:r>
    </w:p>
    <w:p>
      <w:pPr>
        <w:pStyle w:val="ListParagraph"/>
        <w:numPr>
          <w:ilvl w:val="0"/>
          <w:numId w:val="2"/>
        </w:numPr>
        <w:spacing w:after="60" w:before="60"/>
      </w:pPr>
      <w:r>
        <w:rPr>
          <w:rFonts w:ascii="Arial" w:cs="Arial" w:eastAsia="Arial" w:hAnsi="Arial"/>
          <w:b w:val="false"/>
          <w:bCs w:val="false"/>
          <w:color w:val="404040"/>
          <w:sz w:val="20"/>
          <w:szCs w:val="20"/>
        </w:rPr>
        <w:t xml:space="preserve">A/B testing structuré : 'tester deux groupes de clients avec des hausses de taux différentes pour quantifier l'élasticité prix sur un segment donné'</w:t>
      </w:r>
    </w:p>
    <w:p>
      <w:pPr>
        <w:spacing w:after="80" w:before="40"/>
        <w:ind w:left="200"/>
      </w:pPr>
      <w:r>
        <w:rPr>
          <w:rFonts w:ascii="Arial" w:cs="Arial" w:eastAsia="Arial" w:hAnsi="Arial"/>
          <w:i/>
          <w:iCs/>
          <w:color w:val="006B6B"/>
          <w:sz w:val="16"/>
          <w:szCs w:val="16"/>
        </w:rPr>
        <w:t xml:space="preserve">📚 Source : Can Demir — Developing an End-to-End Credit Pricing Model with ML</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4.6  Reinforcement Learning &amp; Next Best Offer</w:t>
      </w:r>
    </w:p>
    <w:p>
      <w:pPr>
        <w:spacing w:after="80" w:before="80"/>
      </w:pPr>
      <w:r>
        <w:rPr>
          <w:rFonts w:ascii="Arial" w:cs="Arial" w:eastAsia="Arial" w:hAnsi="Arial"/>
          <w:color w:val="404040"/>
          <w:sz w:val="20"/>
          <w:szCs w:val="20"/>
        </w:rPr>
        <w:t xml:space="preserve">Dans des situations de tarification séquentielle (plusieurs offres successives au même client), un agent RL peut apprendre la meilleure stratégie de tarification multi-périodes. Les géants comme JPMorgan utilisent déjà des algorithmes internes pour suggérer aux commerciaux les actions 'gagnantes' à prendre pour chaque entreprise.</w:t>
      </w:r>
    </w:p>
    <w:p>
      <w:pPr>
        <w:spacing w:after="80" w:before="40"/>
        <w:ind w:left="200"/>
      </w:pPr>
      <w:r>
        <w:rPr>
          <w:rFonts w:ascii="Arial" w:cs="Arial" w:eastAsia="Arial" w:hAnsi="Arial"/>
          <w:i/>
          <w:iCs/>
          <w:color w:val="006B6B"/>
          <w:sz w:val="16"/>
          <w:szCs w:val="16"/>
        </w:rPr>
        <w:t xml:space="preserve">📚 Source : Oracle — Leading banks rolling out more generative AI (oracle.com/artificial-intelligence/banking-genai)</w:t>
      </w:r>
    </w:p>
    <w:p>
      <w:pPr>
        <w:pStyle w:val="ListParagraph"/>
        <w:numPr>
          <w:ilvl w:val="0"/>
          <w:numId w:val="2"/>
        </w:numPr>
        <w:spacing w:after="60" w:before="60"/>
      </w:pPr>
      <w:r>
        <w:rPr>
          <w:rFonts w:ascii="Arial" w:cs="Arial" w:eastAsia="Arial" w:hAnsi="Arial"/>
          <w:b w:val="false"/>
          <w:bCs w:val="false"/>
          <w:color w:val="404040"/>
          <w:sz w:val="20"/>
          <w:szCs w:val="20"/>
        </w:rPr>
        <w:t xml:space="preserve">Contextual Bandits (RL simplifié) : choisir la meilleure offre parmi N options en temps réel — recommandé en priorité</w:t>
      </w:r>
    </w:p>
    <w:p>
      <w:pPr>
        <w:pStyle w:val="ListParagraph"/>
        <w:numPr>
          <w:ilvl w:val="0"/>
          <w:numId w:val="2"/>
        </w:numPr>
        <w:spacing w:after="60" w:before="60"/>
      </w:pPr>
      <w:r>
        <w:rPr>
          <w:rFonts w:ascii="Arial" w:cs="Arial" w:eastAsia="Arial" w:hAnsi="Arial"/>
          <w:b w:val="false"/>
          <w:bCs w:val="false"/>
          <w:color w:val="404040"/>
          <w:sz w:val="20"/>
          <w:szCs w:val="20"/>
        </w:rPr>
        <w:t xml:space="preserve">Q-Learning / Deep RL : modélisation des séquences de décisions sur la durée de vie client</w:t>
      </w:r>
    </w:p>
    <w:p>
      <w:pPr>
        <w:pStyle w:val="ListParagraph"/>
        <w:numPr>
          <w:ilvl w:val="0"/>
          <w:numId w:val="2"/>
        </w:numPr>
        <w:spacing w:after="60" w:before="60"/>
      </w:pPr>
      <w:r>
        <w:rPr>
          <w:rFonts w:ascii="Arial" w:cs="Arial" w:eastAsia="Arial" w:hAnsi="Arial"/>
          <w:b w:val="false"/>
          <w:bCs w:val="false"/>
          <w:color w:val="404040"/>
          <w:sz w:val="20"/>
          <w:szCs w:val="20"/>
        </w:rPr>
        <w:t xml:space="preserve">NBO (Next Best Offer) : système de recommandation intégrant produit optimal + prix optimal + moment optimal</w:t>
      </w:r>
    </w:p>
    <w:p>
      <w:pPr>
        <w:spacing w:after="0" w:before="0"/>
      </w:pPr>
      <w:r>
        <w:br w:type="page"/>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33" w:sz="0"/>
              <w:left w:val="single" w:color="004D33" w:sz="0"/>
              <w:bottom w:val="single" w:color="004D33" w:sz="0"/>
              <w:right w:val="single" w:color="004D33" w:sz="0"/>
            </w:tcBorders>
            <w:shd w:fill="004D33" w:val="clear"/>
            <w:tcMar>
              <w:top w:type="dxa" w:w="200"/>
              <w:left w:type="dxa" w:w="300"/>
              <w:bottom w:type="dxa" w:w="200"/>
              <w:right w:type="dxa" w:w="300"/>
            </w:tcMar>
          </w:tcPr>
          <w:p>
            <w:pPr>
              <w:spacing w:after="0" w:before="0"/>
              <w:jc w:val="center"/>
            </w:pPr>
            <w:r>
              <w:rPr>
                <w:rFonts w:ascii="Arial" w:cs="Arial" w:eastAsia="Arial" w:hAnsi="Arial"/>
                <w:b/>
                <w:bCs/>
                <w:color w:val="C2E0CF"/>
                <w:sz w:val="52"/>
                <w:szCs w:val="52"/>
              </w:rPr>
              <w:t xml:space="preserve">05</w:t>
            </w:r>
          </w:p>
          <w:p>
            <w:pPr>
              <w:spacing w:after="60" w:before="80"/>
              <w:jc w:val="center"/>
            </w:pPr>
            <w:r>
              <w:rPr>
                <w:rFonts w:ascii="Arial" w:cs="Arial" w:eastAsia="Arial" w:hAnsi="Arial"/>
                <w:b/>
                <w:bCs/>
                <w:color w:val="FFFFFF"/>
                <w:sz w:val="34"/>
                <w:szCs w:val="34"/>
              </w:rPr>
              <w:t xml:space="preserve">CAS D'USAGE ANALYTIQUES</w:t>
            </w:r>
          </w:p>
          <w:p>
            <w:pPr>
              <w:spacing w:after="0" w:before="0"/>
              <w:jc w:val="center"/>
            </w:pPr>
            <w:r>
              <w:rPr>
                <w:rFonts w:ascii="Arial" w:cs="Arial" w:eastAsia="Arial" w:hAnsi="Arial"/>
                <w:i/>
                <w:iCs/>
                <w:color w:val="E8F5EF"/>
                <w:sz w:val="20"/>
                <w:szCs w:val="20"/>
              </w:rPr>
              <w:t xml:space="preserve">Tableau de synthèse complet — 12 cas d'usage avec logique, données, modèles, KPI</w:t>
            </w:r>
          </w:p>
        </w:tc>
      </w:tr>
    </w:tbl>
    <w:p>
      <w:pPr>
        <w:spacing w:before="200"/>
      </w:pPr>
      <w:r>
        <w:t xml:space="preserve"/>
      </w:r>
    </w:p>
    <w:p>
      <w:pPr>
        <w:spacing w:after="80" w:before="80"/>
      </w:pPr>
      <w:r>
        <w:rPr>
          <w:rFonts w:ascii="Arial" w:cs="Arial" w:eastAsia="Arial" w:hAnsi="Arial"/>
          <w:color w:val="404040"/>
          <w:sz w:val="20"/>
          <w:szCs w:val="20"/>
        </w:rPr>
        <w:t xml:space="preserve">Ce tableau synthétise les 12 cas d'usage analytiques prioritaires identifiés pour la PVP Entreprises, intégrant les données de référence des sources BCG, McKinsey, PCBB et de la littérature académique.</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600"/>
        <w:gridCol w:w="1800"/>
        <w:gridCol w:w="1600"/>
        <w:gridCol w:w="1600"/>
        <w:gridCol w:w="900"/>
        <w:gridCol w:w="900"/>
        <w:gridCol w:w="660"/>
      </w:tblGrid>
      <w:tr>
        <w:trPr>
          <w:tblHeader/>
        </w:trPr>
        <w:tc>
          <w:tcPr>
            <w:tcW w:type="dxa" w:w="3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16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Cas d'usage</w:t>
            </w:r>
          </w:p>
        </w:tc>
        <w:tc>
          <w:tcPr>
            <w:tcW w:type="dxa" w:w="18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Logique d'affaires</w:t>
            </w:r>
          </w:p>
        </w:tc>
        <w:tc>
          <w:tcPr>
            <w:tcW w:type="dxa" w:w="16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Données clés</w:t>
            </w:r>
          </w:p>
        </w:tc>
        <w:tc>
          <w:tcPr>
            <w:tcW w:type="dxa" w:w="16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Modèle principal</w:t>
            </w:r>
          </w:p>
        </w:tc>
        <w:tc>
          <w:tcPr>
            <w:tcW w:type="dxa" w:w="9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KPI</w:t>
            </w:r>
          </w:p>
        </w:tc>
        <w:tc>
          <w:tcPr>
            <w:tcW w:type="dxa" w:w="9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Complexité</w:t>
            </w:r>
          </w:p>
        </w:tc>
        <w:tc>
          <w:tcPr>
            <w:tcW w:type="dxa" w:w="66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Gain estimé</w:t>
            </w:r>
          </w:p>
        </w:tc>
      </w:tr>
      <w:tr>
        <w:tc>
          <w:tcPr>
            <w:tcW w:type="dxa" w:w="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Recommandation de taux optimal</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Maximiser le profit de chaque crédit — trade-off revenu vs risque via taux optimal personnalisé</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Historique offres/résultats, PD/LGD, coût des fonds, taux marché</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GBM pour P(Acceptation) + modèle risque + optimisation profit espéré</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NIM, RAROC, taux conversion offres</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Élevée</w:t>
            </w:r>
          </w:p>
        </w:tc>
        <w:tc>
          <w:tcPr>
            <w:tcW w:type="dxa" w:w="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Marges + moins de 'revenu laissé sur la table'</w:t>
            </w:r>
          </w:p>
        </w:tc>
      </w:tr>
      <w:tr>
        <w:tc>
          <w:tcPr>
            <w:tcW w:type="dxa" w:w="3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Détection de sous-tarification</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Identifier contrats dont le taux est statistiquement inférieur au risque/valeur — revenu manquant récupérable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Taux effectifs, RAROC par compte, profil risque, date dernière révision</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Isolation Forest / RAROC scoring / analyse de variance par segment</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Écart de taux moyen, marge manquante (pb NIM)</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Moyenne</w:t>
            </w:r>
          </w:p>
        </w:tc>
        <w:tc>
          <w:tcPr>
            <w:tcW w:type="dxa" w:w="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Récupération marge significative sans nouveaux clients</w:t>
            </w:r>
          </w:p>
        </w:tc>
      </w:tr>
      <w:tr>
        <w:tc>
          <w:tcPr>
            <w:tcW w:type="dxa" w:w="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Prédiction d'acceptation d'offre</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Estimer P(Acceptation) d'une offre à un taux donné pour optimiser la conversion</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Historique offres/résultats, secteur, taille, ancienneté relation, données concurrents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Classification GBM calibré en probabilité (Platt scaling)</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de conversion, coût d'acquisition signing</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Moyenne</w:t>
            </w:r>
          </w:p>
        </w:tc>
        <w:tc>
          <w:tcPr>
            <w:tcW w:type="dxa" w:w="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Moins d'offres sous-optimales, ↑ taux signature propositions rentables</w:t>
            </w:r>
          </w:p>
        </w:tc>
      </w:tr>
      <w:tr>
        <w:tc>
          <w:tcPr>
            <w:tcW w:type="dxa" w:w="3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Détection opportunités hausse tarifaire</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Repérer clients fidèles peu sensibles au prix (WTP élevée) candidats à une hausse ciblée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Comportement transactionnel, historique renouvellements, signaux CRM, churn score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Score d'élasticité WTP + modèle churn combiné</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Revenus par client, taux churn client</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Moyenne</w:t>
            </w:r>
          </w:p>
        </w:tc>
        <w:tc>
          <w:tcPr>
            <w:tcW w:type="dxa" w:w="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Hausse ciblée de marges sans perte de clients</w:t>
            </w:r>
          </w:p>
        </w:tc>
      </w:tr>
      <w:tr>
        <w:tc>
          <w:tcPr>
            <w:tcW w:type="dxa" w:w="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Optimisation spread global (NIM)</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Ajuster la structure tarifaire crédit/dépôts pour maximiser la marge nette globale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Encours prêts, taux débiteurs, encours dépôts, taux créditeurs, prévisions volumes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Modèles ALM, optimisation financière, simulations de sensibilité</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NIM, rentabilité bilan, coûts des fonds</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Élevée</w:t>
            </w:r>
          </w:p>
        </w:tc>
        <w:tc>
          <w:tcPr>
            <w:tcW w:type="dxa" w:w="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Meilleure couverture coût financement à bilan inchangé</w:t>
            </w:r>
          </w:p>
        </w:tc>
      </w:tr>
      <w:tr>
        <w:tc>
          <w:tcPr>
            <w:tcW w:type="dxa" w:w="3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6</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Pricing personnalisé (one-to-one)</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Définir des tarifs 'sur mesure' intégrant risque individuel + profil relation complet</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Toutes données client multi-produits, profil rentabilité ABC, mix-produit</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Segmentation dynamique + algorithmes de recommandation + ML multi-variable</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Pénétration multi-produit, RAROC par client, satisfaction</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Élevée</w:t>
            </w:r>
          </w:p>
        </w:tc>
        <w:tc>
          <w:tcPr>
            <w:tcW w:type="dxa" w:w="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Fidélisation renforcée, extraction valeur totale relation</w:t>
            </w:r>
          </w:p>
        </w:tc>
      </w:tr>
      <w:tr>
        <w:tc>
          <w:tcPr>
            <w:tcW w:type="dxa" w:w="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7</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Churn pricing (rétention proactive)</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Proposer des offres préférentielles proactives aux clients à risque de départ identifiés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churn CRM, indicateurs d'activité, comparaisons marché, satisfaction</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prédictif churn ML + règle d'action (offre promo si risque élevé)</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de rétention, perte de revenus évitée</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Faible–Moyenne</w:t>
            </w:r>
          </w:p>
        </w:tc>
        <w:tc>
          <w:tcPr>
            <w:tcW w:type="dxa" w:w="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Réduction pertes clients stratégiques, ↑ LTV</w:t>
            </w:r>
          </w:p>
        </w:tc>
      </w:tr>
      <w:tr>
        <w:tc>
          <w:tcPr>
            <w:tcW w:type="dxa" w:w="3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8</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Benchmarking concurrentiel automatisé</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Veille continue sur tarifs et services concurrents pour maintenir la compétitivité</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BDD marché, études tarifaires publiques, offres concurrentes (BMO, RBC, BNC)</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Outils intel marché, web-scraping légal, BI reporting</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Positionnement prix marché, PDM gagnée/perdue</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Faible–Moyenne</w:t>
            </w:r>
          </w:p>
        </w:tc>
        <w:tc>
          <w:tcPr>
            <w:tcW w:type="dxa" w:w="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Ajustements rapides, argumentaire négociation renforcé</w:t>
            </w:r>
          </w:p>
        </w:tc>
      </w:tr>
      <w:tr>
        <w:tc>
          <w:tcPr>
            <w:tcW w:type="dxa" w:w="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Optimisation portefeuille-client (ABC)</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Réallouer l'attention commerciale sur segments les plus rentables — analyse 80/20</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Historique comptes (produits, volumes, marge, risque, transactions)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Analyse ABC (80/20), modélisation RFM, calcul contribution PNB</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PNB par segment, EVA totale portefeuille</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Moyenne</w:t>
            </w:r>
          </w:p>
        </w:tc>
        <w:tc>
          <w:tcPr>
            <w:tcW w:type="dxa" w:w="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Focus sur clients fort potentiel, désinvestissement des non-rentables</w:t>
            </w:r>
          </w:p>
        </w:tc>
      </w:tr>
      <w:tr>
        <w:tc>
          <w:tcPr>
            <w:tcW w:type="dxa" w:w="3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10</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Pricing Advisor DC (outil conseil)</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Fournir aux DCs un assistant digital suggérant taux ou concessions selon profil client</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Données CRM enrichies, profitabilité, modèles, intel marché</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Moteur de recommandation ML + règles métier</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Succès recommandations, productivité DC</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Élevée</w:t>
            </w:r>
          </w:p>
        </w:tc>
        <w:tc>
          <w:tcPr>
            <w:tcW w:type="dxa" w:w="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Homogénéité décisions, montée en compétence DCs</w:t>
            </w:r>
          </w:p>
        </w:tc>
      </w:tr>
      <w:tr>
        <w:tc>
          <w:tcPr>
            <w:tcW w:type="dxa" w:w="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11</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Copilote IA de négociation</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Assistant IA conversationnel pour simuler et formuler des stratégies de négociation personnalisées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Logs négociations passées, grilles concession, modèles clients risque+relation</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LLM (Claude/GPT-4) + RAG + GAN simulation / logs dialogues</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Succès négociation, satisfaction client</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Élevée (R&amp;D IA)</w:t>
            </w:r>
          </w:p>
        </w:tc>
        <w:tc>
          <w:tcPr>
            <w:tcW w:type="dxa" w:w="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Efficacité DC, standardisation meilleures pratiques négociation</w:t>
            </w:r>
          </w:p>
        </w:tc>
      </w:tr>
      <w:tr>
        <w:tc>
          <w:tcPr>
            <w:tcW w:type="dxa" w:w="3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12</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Simulation de rentabilité client (RAROC Live)</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Projeter la rentabilité future selon scénarios de tarification et de comportement (what-if)</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PNL client complet (intérêts, frais, coûts, provisions), hypothèses volumes/taux</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Moteur de simulation what-if (BI avancé ou Pricing Engine)</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RAROC projeté, cash-flow net, EVA anticipée</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Moyenne</w:t>
            </w:r>
          </w:p>
        </w:tc>
        <w:tc>
          <w:tcPr>
            <w:tcW w:type="dxa" w:w="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Décisions basées sur la data avant tout ajustement de prix</w:t>
            </w:r>
          </w:p>
        </w:tc>
      </w:tr>
    </w:tbl>
    <w:p>
      <w:pPr>
        <w:spacing w:after="0" w:before="0"/>
      </w:pPr>
      <w:r>
        <w:br w:type="page"/>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33" w:sz="0"/>
              <w:left w:val="single" w:color="004D33" w:sz="0"/>
              <w:bottom w:val="single" w:color="004D33" w:sz="0"/>
              <w:right w:val="single" w:color="004D33" w:sz="0"/>
            </w:tcBorders>
            <w:shd w:fill="004D33" w:val="clear"/>
            <w:tcMar>
              <w:top w:type="dxa" w:w="200"/>
              <w:left w:type="dxa" w:w="300"/>
              <w:bottom w:type="dxa" w:w="200"/>
              <w:right w:type="dxa" w:w="300"/>
            </w:tcMar>
          </w:tcPr>
          <w:p>
            <w:pPr>
              <w:spacing w:after="0" w:before="0"/>
              <w:jc w:val="center"/>
            </w:pPr>
            <w:r>
              <w:rPr>
                <w:rFonts w:ascii="Arial" w:cs="Arial" w:eastAsia="Arial" w:hAnsi="Arial"/>
                <w:b/>
                <w:bCs/>
                <w:color w:val="C2E0CF"/>
                <w:sz w:val="52"/>
                <w:szCs w:val="52"/>
              </w:rPr>
              <w:t xml:space="preserve">06</w:t>
            </w:r>
          </w:p>
          <w:p>
            <w:pPr>
              <w:spacing w:after="0" w:before="80"/>
              <w:jc w:val="center"/>
            </w:pPr>
            <w:r>
              <w:rPr>
                <w:rFonts w:ascii="Arial" w:cs="Arial" w:eastAsia="Arial" w:hAnsi="Arial"/>
                <w:b/>
                <w:bCs/>
                <w:color w:val="FFFFFF"/>
                <w:sz w:val="34"/>
                <w:szCs w:val="34"/>
              </w:rPr>
              <w:t xml:space="preserve">ANALYSE APPROFONDIE DES CAS D'USAGE PRIORITAIRES</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6.1  Détection de sous-tarification — Quick Win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Logique</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Identifier les contrats où la banque accorde des taux trop bas par rapport au risque/correspondance de portefeuilles. Ces anomalies représentent un 'revenu manquant' récupérable sans risque de perte de relation si bien géré. McKinsey documente que 5–10 % des comptes détruisent de la valeur car un risque élevé n'est pas correctement tarifé.</w:t>
            </w:r>
          </w:p>
        </w:tc>
      </w:tr>
      <w:tr>
        <w:tc>
          <w:tcPr>
            <w:tcW w:type="dxa" w:w="18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olor w:val="1B4F8A"/>
                <w:sz w:val="18"/>
                <w:szCs w:val="18"/>
              </w:rPr>
              <w:t xml:space="preserve">Données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effectifs clients, profils de risque (PD/LGD), FTP historique, revenu cross-sell, secteur NAICS, date du dernier renouvellement, historique des concessions, taux de marché contemporains.</w:t>
            </w:r>
          </w:p>
        </w:tc>
      </w:tr>
      <w:tr>
        <w:tc>
          <w:tcPr>
            <w:tcW w:type="dxa" w:w="18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r>
              <w:rPr>
                <w:rFonts w:ascii="Arial" w:cs="Arial" w:eastAsia="Arial" w:hAnsi="Arial"/>
                <w:b/>
                <w:bCs/>
                <w:color w:val="8B6914"/>
                <w:sz w:val="18"/>
                <w:szCs w:val="18"/>
              </w:rPr>
              <w:t xml:space="preserve">Modèles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 RAROC scoring : calculer le RAROC attendu réel pour chaque compte, comparer au RAROC cible. 2. Isolation Forest / LOF pour détection d'anomalies non supervisée. 3. Analyse de variance : repérer groupes où le taux moyen est inférieur à la norme du segment. 4. 'Pricing gap' = taux marché estimé – taux effectif client.</w:t>
            </w:r>
          </w:p>
        </w:tc>
      </w:tr>
      <w:tr>
        <w:tc>
          <w:tcPr>
            <w:tcW w:type="dxa" w:w="18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KPI</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Écart de taux moyen (pb), marge manquante ($), volume de contrats sous-tarifés (%), RAROC moyen actuel vs cible.</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Complexité</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FAIBLE-MOYENNE — données internes disponibles, modèle analytique standard. Principal défi : change management avec les directeurs de comptes qui ont accordé ces concessions.</w:t>
            </w:r>
          </w:p>
        </w:tc>
      </w:tr>
      <w:tr>
        <w:tc>
          <w:tcPr>
            <w:tcW w:type="dxa" w:w="18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Gains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McKinsey : 20 % des comptes génèrent 90 % de l'EVA, tandis que 5–10 % des comptes détruisent de la valeur. Récupération estimée 3–8 pb sur 20–30 % du portefeuille = +$2M–$8M revenu annuel (portefeuille $5B). ROI très élevé.</w:t>
            </w:r>
          </w:p>
        </w:tc>
      </w:tr>
      <w:tr>
        <w:tc>
          <w:tcPr>
            <w:tcW w:type="dxa" w:w="180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r>
              <w:rPr>
                <w:rFonts w:ascii="Arial" w:cs="Arial" w:eastAsia="Arial" w:hAnsi="Arial"/>
                <w:b/>
                <w:bCs/>
                <w:color w:val="C00000"/>
                <w:sz w:val="18"/>
                <w:szCs w:val="18"/>
              </w:rPr>
              <w:t xml:space="preserve">Risques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Risque relation si hausse perçue comme brutale → communication graduée, phasée sur renouvellements. Vérifier absence de discrimination systématique par secteur ou région (fairness testing). Respecter les contrats existants — toute action corrective doit être justifiée et conforme.</w:t>
            </w:r>
          </w:p>
        </w:tc>
      </w:tr>
    </w:tbl>
    <w:p>
      <w:pPr>
        <w:spacing w:after="80" w:before="40"/>
        <w:ind w:left="200"/>
      </w:pPr>
      <w:r>
        <w:rPr>
          <w:rFonts w:ascii="Arial" w:cs="Arial" w:eastAsia="Arial" w:hAnsi="Arial"/>
          <w:i/>
          <w:iCs/>
          <w:color w:val="006B6B"/>
          <w:sz w:val="16"/>
          <w:szCs w:val="16"/>
        </w:rPr>
        <w:t xml:space="preserve">📚 Source : McKinsey — Price to Win; Can Demir — End-to-End Credit Pricing Model</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6.2  Recommandation de taux optimal — Pricing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Logique</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Fournir au directeur de compte, au moment de structurer une offre ou un renouvellement, un taux recommandé personnalisé avec les intervalles de négociation (rack rate, taux cible, plancher RAROC) et la justification analytique. Remplace la dépendance au 'feeling' et réduit les concessions non justifiées.</w:t>
            </w:r>
          </w:p>
        </w:tc>
      </w:tr>
      <w:tr>
        <w:tc>
          <w:tcPr>
            <w:tcW w:type="dxa" w:w="18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olor w:val="1B4F8A"/>
                <w:sz w:val="18"/>
                <w:szCs w:val="18"/>
              </w:rPr>
              <w:t xml:space="preserve">Données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Profil de risque client (PD/LGD), profitabilité historique, FTP actuel, taux de marché concurrentiel, variables de relation (WoW, ancienneté, produits détenus), élasticité/WTP estimée, budget capital disponible.</w:t>
            </w:r>
          </w:p>
        </w:tc>
      </w:tr>
      <w:tr>
        <w:tc>
          <w:tcPr>
            <w:tcW w:type="dxa" w:w="18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r>
              <w:rPr>
                <w:rFonts w:ascii="Arial" w:cs="Arial" w:eastAsia="Arial" w:hAnsi="Arial"/>
                <w:b/>
                <w:bCs/>
                <w:color w:val="8B6914"/>
                <w:sz w:val="18"/>
                <w:szCs w:val="18"/>
              </w:rPr>
              <w:t xml:space="preserve">Modèles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GBM pour P(Acceptation) + modèle de risque → coût du risque → RAROC à chaque taux → optimisation du taux maximisant E[P(A) × RAROC]. Intégration SHAP pour explainabilité des recommandations au DC. Architecture analogue au modèle GAN de BCG.</w:t>
            </w:r>
          </w:p>
        </w:tc>
      </w:tr>
      <w:tr>
        <w:tc>
          <w:tcPr>
            <w:tcW w:type="dxa" w:w="18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KPI</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d'acceptation des offres (+10–20 %), RAROC moyen signé, taux de concession moyen (–15–25 %), temps de préparation des offres (–40–60 %), satisfaction DC.</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Complexité</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MOYENNE-ÉLEVÉE — nécessite l'intégration du modèle dans le flux CRM, formation des directeurs, et construction préalable du modèle d'élasticité (le plus difficile). Pré-requis : FTP uniforme et système de profitabilité opérationnel.</w:t>
            </w:r>
          </w:p>
        </w:tc>
      </w:tr>
      <w:tr>
        <w:tc>
          <w:tcPr>
            <w:tcW w:type="dxa" w:w="18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Gains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Réduction de 15–25 % des concessions non justifiées, amélioration NIM de 5–12 pb, +$5M–$15M revenu incrémental. RBC a documenté une réduction de 18 % des concessions et une hausse de 12 % du taux de conversion avec un outil similaire.</w:t>
            </w:r>
          </w:p>
        </w:tc>
      </w:tr>
      <w:tr>
        <w:tc>
          <w:tcPr>
            <w:tcW w:type="dxa" w:w="180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r>
              <w:rPr>
                <w:rFonts w:ascii="Arial" w:cs="Arial" w:eastAsia="Arial" w:hAnsi="Arial"/>
                <w:b/>
                <w:bCs/>
                <w:color w:val="C00000"/>
                <w:sz w:val="18"/>
                <w:szCs w:val="18"/>
              </w:rPr>
              <w:t xml:space="preserve">Risques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Risque d'adoption si les DCs perçoivent l'outil comme une contrainte. Solution : co-développement avec les directeurs, explainabilité SHAP, liberté de s'écarter avec justification documentée. Doit rester un outil d'aide — la décision finale reste humaine (audit trail, approbations).</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6.3  Churn Pricing — Rétention proactive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Logique</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Proposer des offres de taux préférentielles proactives aux clients identifiés à risque de départ AVANT qu'ils ne quittent. Un client multi-produit qui a migré son terminal de paiement ou sa plateforme de paie vers un concurrent a établi une loyauté fonctionnelle difficile à renverser — la détection précoce est critique.</w:t>
            </w:r>
          </w:p>
        </w:tc>
      </w:tr>
      <w:tr>
        <w:tc>
          <w:tcPr>
            <w:tcW w:type="dxa" w:w="18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olor w:val="1B4F8A"/>
                <w:sz w:val="18"/>
                <w:szCs w:val="18"/>
              </w:rPr>
              <w:t xml:space="preserve">Données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churn CRM (depuis indicateurs d'activité, comportement AccèsD Affaires, score concurrent NBO), comparaisons de marché, retour d'enquête satisfaction, score de valeur client (LTV), signaux de migration identifiés dans le mandat NBO externe.</w:t>
            </w:r>
          </w:p>
        </w:tc>
      </w:tr>
      <w:tr>
        <w:tc>
          <w:tcPr>
            <w:tcW w:type="dxa" w:w="18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r>
              <w:rPr>
                <w:rFonts w:ascii="Arial" w:cs="Arial" w:eastAsia="Arial" w:hAnsi="Arial"/>
                <w:b/>
                <w:bCs/>
                <w:color w:val="8B6914"/>
                <w:sz w:val="18"/>
                <w:szCs w:val="18"/>
              </w:rPr>
              <w:t xml:space="preserve">Modèles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 Modèle prédictif de churn (GBM ou Survival Analysis). 2. Règle d'action : si score churn &gt; seuil → offre de rétention calibrée (discount ciblé, nouveau produit bundle). 3. Optimisation du coût de rétention : quel est le discount minimal suffisant pour retenir le client compte tenu de sa LTV?</w:t>
            </w:r>
          </w:p>
        </w:tc>
      </w:tr>
      <w:tr>
        <w:tc>
          <w:tcPr>
            <w:tcW w:type="dxa" w:w="18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KPI</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de rétention clients haute valeur (+5–15 %), perte de revenus évitée ($), coût de rétention par $ de revenu préservé, délai détection-intervention.</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Complexité</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 À MOYENNE — utilise principalement l'existant CRM et des outils de BI pour le scoring. La difficulté principale est la qualité des features comportementaux.</w:t>
            </w:r>
          </w:p>
        </w:tc>
      </w:tr>
      <w:tr>
        <w:tc>
          <w:tcPr>
            <w:tcW w:type="dxa" w:w="18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Gains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Réduction des pertes de clients stratégiques, amélioration de la LTV (lifetime value). Un gain de 5 % en rétention sur le top 20 % clients = +$5M–$12M revenu annuel préservé. Risque de 'course aux promos' si mal calibré.</w:t>
            </w:r>
          </w:p>
        </w:tc>
      </w:tr>
      <w:tr>
        <w:tc>
          <w:tcPr>
            <w:tcW w:type="dxa" w:w="180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r>
              <w:rPr>
                <w:rFonts w:ascii="Arial" w:cs="Arial" w:eastAsia="Arial" w:hAnsi="Arial"/>
                <w:b/>
                <w:bCs/>
                <w:color w:val="C00000"/>
                <w:sz w:val="18"/>
                <w:szCs w:val="18"/>
              </w:rPr>
              <w:t xml:space="preserve">Risques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Attention aux règles de tarification minimum (plancher RAROC). Risque moral : les clients pourraient simuler un départ pour obtenir des conditions. Calibrer le seuil d'intervention avec soin via tests A/B.</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6.4  Optimisation de portefeuille-client — Analyse ABC / 80-20</w:t>
      </w:r>
    </w:p>
    <w:p>
      <w:pPr>
        <w:spacing w:after="80" w:before="80"/>
      </w:pPr>
      <w:r>
        <w:rPr>
          <w:rFonts w:ascii="Arial" w:cs="Arial" w:eastAsia="Arial" w:hAnsi="Arial"/>
          <w:color w:val="404040"/>
          <w:sz w:val="20"/>
          <w:szCs w:val="20"/>
        </w:rPr>
        <w:t xml:space="preserve">McKinsey documente que dans les banques chinoises libéralisées (benchmark applicable aux banques canadiennes), les institutions qui ont mis en place un tracking de performance par segment ont identifié que 20 % des comptes génèrent 90 % du résultat économique (EVA), tandis que 5–10 % des comptes détruisent de la valeur. Ne pas mettre en place de boucles de contrôle est un piège majeur.</w:t>
      </w:r>
    </w:p>
    <w:p>
      <w:pPr>
        <w:spacing w:after="80" w:before="40"/>
        <w:ind w:left="200"/>
      </w:pPr>
      <w:r>
        <w:rPr>
          <w:rFonts w:ascii="Arial" w:cs="Arial" w:eastAsia="Arial" w:hAnsi="Arial"/>
          <w:i/>
          <w:iCs/>
          <w:color w:val="006B6B"/>
          <w:sz w:val="16"/>
          <w:szCs w:val="16"/>
        </w:rPr>
        <w:t xml:space="preserve">📚 Source : McKinsey — Price to Win: Tracking performance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Segment client (EVA)</w:t>
            </w:r>
          </w:p>
        </w:tc>
        <w:tc>
          <w:tcPr>
            <w:tcW w:type="dxa" w:w="14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portefeuille</w:t>
            </w:r>
          </w:p>
        </w:tc>
        <w:tc>
          <w:tcPr>
            <w:tcW w:type="dxa" w:w="14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EVA contribuée</w:t>
            </w:r>
          </w:p>
        </w:tc>
        <w:tc>
          <w:tcPr>
            <w:tcW w:type="dxa" w:w="376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Stratégie de pricing</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Top clients (EVA très positive)</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20 %</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90 %</w:t>
            </w:r>
          </w:p>
        </w:tc>
        <w:tc>
          <w:tcPr>
            <w:tcW w:type="dxa" w:w="3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Relation premium — protection prix, cross-sell, bundle tarifaire, service dédié</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Clients moyens (EVA positive)</w:t>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50 %</w:t>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20 %</w:t>
            </w:r>
          </w:p>
        </w:tc>
        <w:tc>
          <w:tcPr>
            <w:tcW w:type="dxa" w:w="3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Croissance — optimiser mix produit, augmenter WoW, pricing analytique</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Clients faibles (EVA neutre)</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25 %</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−10 %</w:t>
            </w:r>
          </w:p>
        </w:tc>
        <w:tc>
          <w:tcPr>
            <w:tcW w:type="dxa" w:w="3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Renegociation — hausses de frais graduées, réduction coûts de service</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Clients destructeurs de valeur (EVA négative)</w:t>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5 %</w:t>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−100 % de leur poids</w:t>
            </w:r>
          </w:p>
        </w:tc>
        <w:tc>
          <w:tcPr>
            <w:tcW w:type="dxa" w:w="3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Action corrective — hausse taux, frais, ou exit strategy si non récupérable</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6.5  Simulation de rentabilité client (RAROC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Logique</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Donner au directeur de compte un tableau de bord de rentabilité client en temps réel, calculant le RAROC consolidé de la relation et permettant de simuler l'impact d'une modification de taux ou d'un nouveau produit. 'Vision claire de l'impact financier avant ajustement de prix, permettant des décisions stratégiques basées sur la data.'</w:t>
            </w:r>
          </w:p>
        </w:tc>
      </w:tr>
      <w:tr>
        <w:tc>
          <w:tcPr>
            <w:tcW w:type="dxa" w:w="18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olor w:val="1B4F8A"/>
                <w:sz w:val="18"/>
                <w:szCs w:val="18"/>
              </w:rPr>
              <w:t xml:space="preserve">Données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Tous les revenus client (intérêts nets, commissions, fees, FX margin), coûts alloués (FTP, risque, capital, exploitation ABC), profil de risque, FTP par facilité.</w:t>
            </w:r>
          </w:p>
        </w:tc>
      </w:tr>
      <w:tr>
        <w:tc>
          <w:tcPr>
            <w:tcW w:type="dxa" w:w="18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r>
              <w:rPr>
                <w:rFonts w:ascii="Arial" w:cs="Arial" w:eastAsia="Arial" w:hAnsi="Arial"/>
                <w:b/>
                <w:bCs/>
                <w:color w:val="8B6914"/>
                <w:sz w:val="18"/>
                <w:szCs w:val="18"/>
              </w:rPr>
              <w:t xml:space="preserve">Modèles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Moteur de simulation what-if : modification d'un paramètre (taux, volume, nouveau produit) → recalcul RAROC en temps réel. Visualisation waterfall dynamique. Scénarios déterministes + Monte Carlo pour la distribution des RAROC sous incertitude.</w:t>
            </w:r>
          </w:p>
        </w:tc>
      </w:tr>
      <w:tr>
        <w:tc>
          <w:tcPr>
            <w:tcW w:type="dxa" w:w="18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KPI</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RAROC projeté par scénario, cash-flow net, EVA anticipée, impact sur NIM portefeuille.</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Complexité</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MOYENNE — pré-requis : système de profitabilité client fonctionnel, FTP bien calibré, ABC opérationnel. Dépend fortement de l'exactitude des hypothèses de base (coût du capital, prévisions d'activité).</w:t>
            </w:r>
          </w:p>
        </w:tc>
      </w:tr>
      <w:tr>
        <w:tc>
          <w:tcPr>
            <w:tcW w:type="dxa" w:w="18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Gains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Amélioration qualitative des décisions de crédit + réduction des concessions destructrices de valeur. Impact $3M–$10M selon la maturité actuelle du système de profitabilité.</w:t>
            </w:r>
          </w:p>
        </w:tc>
      </w:tr>
      <w:tr>
        <w:tc>
          <w:tcPr>
            <w:tcW w:type="dxa" w:w="180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r>
              <w:rPr>
                <w:rFonts w:ascii="Arial" w:cs="Arial" w:eastAsia="Arial" w:hAnsi="Arial"/>
                <w:b/>
                <w:bCs/>
                <w:color w:val="C00000"/>
                <w:sz w:val="18"/>
                <w:szCs w:val="18"/>
              </w:rPr>
              <w:t xml:space="preserve">Risques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Ne pas confondre profitabilité et critère d'accès au crédit (discrimination). La profitabilité informe la négociation, elle ne peut pas être le seul critère d'octroi. Clarifier dans la politique interne.</w:t>
            </w:r>
          </w:p>
        </w:tc>
      </w:tr>
    </w:tbl>
    <w:p>
      <w:pPr>
        <w:spacing w:after="0" w:before="0"/>
      </w:pPr>
      <w:r>
        <w:br w:type="page"/>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33" w:sz="0"/>
              <w:left w:val="single" w:color="004D33" w:sz="0"/>
              <w:bottom w:val="single" w:color="004D33" w:sz="0"/>
              <w:right w:val="single" w:color="004D33" w:sz="0"/>
            </w:tcBorders>
            <w:shd w:fill="004D33" w:val="clear"/>
            <w:tcMar>
              <w:top w:type="dxa" w:w="200"/>
              <w:left w:type="dxa" w:w="300"/>
              <w:bottom w:type="dxa" w:w="200"/>
              <w:right w:type="dxa" w:w="300"/>
            </w:tcMar>
          </w:tcPr>
          <w:p>
            <w:pPr>
              <w:spacing w:after="0" w:before="0"/>
              <w:jc w:val="center"/>
            </w:pPr>
            <w:r>
              <w:rPr>
                <w:rFonts w:ascii="Arial" w:cs="Arial" w:eastAsia="Arial" w:hAnsi="Arial"/>
                <w:b/>
                <w:bCs/>
                <w:color w:val="C2E0CF"/>
                <w:sz w:val="52"/>
                <w:szCs w:val="52"/>
              </w:rPr>
              <w:t xml:space="preserve">07</w:t>
            </w:r>
          </w:p>
          <w:p>
            <w:pPr>
              <w:spacing w:after="60" w:before="80"/>
              <w:jc w:val="center"/>
            </w:pPr>
            <w:r>
              <w:rPr>
                <w:rFonts w:ascii="Arial" w:cs="Arial" w:eastAsia="Arial" w:hAnsi="Arial"/>
                <w:b/>
                <w:bCs/>
                <w:color w:val="FFFFFF"/>
                <w:sz w:val="34"/>
                <w:szCs w:val="34"/>
              </w:rPr>
              <w:t xml:space="preserve">MODÈLE GAN DE BCG</w:t>
            </w:r>
          </w:p>
          <w:p>
            <w:pPr>
              <w:spacing w:after="0" w:before="0"/>
              <w:jc w:val="center"/>
            </w:pPr>
            <w:r>
              <w:rPr>
                <w:rFonts w:ascii="Arial" w:cs="Arial" w:eastAsia="Arial" w:hAnsi="Arial"/>
                <w:i/>
                <w:iCs/>
                <w:color w:val="E8F5EF"/>
                <w:sz w:val="20"/>
                <w:szCs w:val="20"/>
              </w:rPr>
              <w:t xml:space="preserve">Cas concret de pricing par IA — Commercial Loan Pricing</w:t>
            </w:r>
          </w:p>
        </w:tc>
      </w:tr>
    </w:tbl>
    <w:p>
      <w:pPr>
        <w:spacing w:before="200"/>
      </w:pPr>
      <w:r>
        <w:t xml:space="preserve"/>
      </w:r>
    </w:p>
    <w:p>
      <w:pPr>
        <w:spacing w:after="80" w:before="80"/>
      </w:pPr>
      <w:r>
        <w:rPr>
          <w:rFonts w:ascii="Arial" w:cs="Arial" w:eastAsia="Arial" w:hAnsi="Arial"/>
          <w:color w:val="404040"/>
          <w:sz w:val="20"/>
          <w:szCs w:val="20"/>
        </w:rPr>
        <w:t xml:space="preserve">Ce cas concret, documenté par BCG, illustre comment l'IA générative peut révolutionner le pricing des prêts commerciaux. Il représente l'état de l'art de ce qui se fait dans les banques les plus avancées mondialement.</w:t>
      </w:r>
    </w:p>
    <w:p>
      <w:pPr>
        <w:spacing w:before="1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7.1  Architecture du modèle GAN de BCG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004D33" w:sz="6"/>
              <w:left w:val="single" w:color="004D33" w:sz="6"/>
              <w:bottom w:val="single" w:color="004D33" w:sz="6"/>
              <w:right w:val="single" w:color="004D33" w:sz="6"/>
            </w:tcBorders>
            <w:shd w:fill="5B2C6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Composante</w:t>
            </w:r>
          </w:p>
        </w:tc>
        <w:tc>
          <w:tcPr>
            <w:tcW w:type="dxa" w:w="3600"/>
            <w:tcBorders>
              <w:top w:val="single" w:color="004D33" w:sz="6"/>
              <w:left w:val="single" w:color="004D33" w:sz="6"/>
              <w:bottom w:val="single" w:color="004D33" w:sz="6"/>
              <w:right w:val="single" w:color="004D33" w:sz="6"/>
            </w:tcBorders>
            <w:shd w:fill="5B2C6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3560"/>
            <w:tcBorders>
              <w:top w:val="single" w:color="004D33" w:sz="6"/>
              <w:left w:val="single" w:color="004D33" w:sz="6"/>
              <w:bottom w:val="single" w:color="004D33" w:sz="6"/>
              <w:right w:val="single" w:color="004D33" w:sz="6"/>
            </w:tcBorders>
            <w:shd w:fill="5B2C6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Rôle dans le pricing</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Agent 1 — Banquier virtuel</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Réseau neuronal proposant un taux T pour un profil client donné</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Génère les offres de prix à tester</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Agent 2 — Client virtuel</w:t>
            </w:r>
          </w:p>
        </w:tc>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Réseau neuronal générant P(Acceptation | T, profil C) simulant la réaction client</w:t>
            </w:r>
          </w:p>
        </w:tc>
        <w:tc>
          <w:tcPr>
            <w:tcW w:type="dxa" w:w="3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Évalue la probabilité d'acceptation de chaque offre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Fonction de récompense</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E[Profit] = P(A) × [T − Coûts − PD×LGD] − (1−P(A)) × Coût d'opportunité</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Objectif d'optimisation du banquier virtuel</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Boucle d'entraînement</w:t>
            </w:r>
          </w:p>
        </w:tc>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Le banquier ajuste T, le client répond → convergence vers le taux optimal pour chaque profil</w:t>
            </w:r>
          </w:p>
        </w:tc>
        <w:tc>
          <w:tcPr>
            <w:tcW w:type="dxa" w:w="3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Apprentissage de la courbe demande-prix individuelle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Output final</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T* personnalisé pour chaque client C — différent du taux moyen du segment</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Recommandation de pricing individualisée</w:t>
            </w:r>
          </w:p>
        </w:tc>
      </w:tr>
    </w:tbl>
    <w:p>
      <w:pPr>
        <w:spacing w:after="80" w:before="40"/>
        <w:ind w:left="200"/>
      </w:pPr>
      <w:r>
        <w:rPr>
          <w:rFonts w:ascii="Arial" w:cs="Arial" w:eastAsia="Arial" w:hAnsi="Arial"/>
          <w:i/>
          <w:iCs/>
          <w:color w:val="006B6B"/>
          <w:sz w:val="16"/>
          <w:szCs w:val="16"/>
        </w:rPr>
        <w:t xml:space="preserve">📚 Source : BCG — AI-Driven Commercial Loan Pricing (media-publications.bcg.com/AI-Driven-Commercial-Loan-Pricing.pdf)</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7.2  Impact documenté et applicabilité à Desjardins</w:t>
      </w:r>
    </w:p>
    <w:p>
      <w:pPr>
        <w:spacing w:after="80" w:before="80"/>
      </w:pPr>
      <w:r>
        <w:rPr>
          <w:rFonts w:ascii="Arial" w:cs="Arial" w:eastAsia="Arial" w:hAnsi="Arial"/>
          <w:color w:val="404040"/>
          <w:sz w:val="20"/>
          <w:szCs w:val="20"/>
        </w:rPr>
        <w:t xml:space="preserve">Le modèle GAN de BCG a permis d'augmenter significativement le rendement escompté des portefeuilles de prêts commerciaux dans les banques où il a été déployé. Banques ciblées : grandes banques US et européennes avec des portefeuilles PME et mid-market.</w:t>
      </w:r>
    </w:p>
    <w:p>
      <w:pPr>
        <w:pStyle w:val="ListParagraph"/>
        <w:numPr>
          <w:ilvl w:val="0"/>
          <w:numId w:val="2"/>
        </w:numPr>
        <w:spacing w:after="60" w:before="60"/>
      </w:pPr>
      <w:r>
        <w:rPr>
          <w:rFonts w:ascii="Arial" w:cs="Arial" w:eastAsia="Arial" w:hAnsi="Arial"/>
          <w:b w:val="false"/>
          <w:bCs w:val="false"/>
          <w:color w:val="404040"/>
          <w:sz w:val="20"/>
          <w:szCs w:val="20"/>
        </w:rPr>
        <w:t xml:space="preserve">Gain principal : augmentation du taux de profit espéré par transaction (sans perte de volume significative)</w:t>
      </w:r>
    </w:p>
    <w:p>
      <w:pPr>
        <w:pStyle w:val="ListParagraph"/>
        <w:numPr>
          <w:ilvl w:val="0"/>
          <w:numId w:val="2"/>
        </w:numPr>
        <w:spacing w:after="60" w:before="60"/>
      </w:pPr>
      <w:r>
        <w:rPr>
          <w:rFonts w:ascii="Arial" w:cs="Arial" w:eastAsia="Arial" w:hAnsi="Arial"/>
          <w:b w:val="false"/>
          <w:bCs w:val="false"/>
          <w:color w:val="404040"/>
          <w:sz w:val="20"/>
          <w:szCs w:val="20"/>
        </w:rPr>
        <w:t xml:space="preserve">Mécanisme : le client virtuel apprend les véritables préférences de prix à partir des données historiques d'acceptation</w:t>
      </w:r>
    </w:p>
    <w:p>
      <w:pPr>
        <w:pStyle w:val="ListParagraph"/>
        <w:numPr>
          <w:ilvl w:val="0"/>
          <w:numId w:val="2"/>
        </w:numPr>
        <w:spacing w:after="60" w:before="60"/>
      </w:pPr>
      <w:r>
        <w:rPr>
          <w:rFonts w:ascii="Arial" w:cs="Arial" w:eastAsia="Arial" w:hAnsi="Arial"/>
          <w:b w:val="false"/>
          <w:bCs w:val="false"/>
          <w:color w:val="404040"/>
          <w:sz w:val="20"/>
          <w:szCs w:val="20"/>
        </w:rPr>
        <w:t xml:space="preserve">Condition de succès : base de données historique riche d'offres (taux proposé + résultat accepté/refusé) par profil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8"/>
              <w:left w:val="single" w:color="C55A11" w:sz="8"/>
              <w:bottom w:val="single" w:color="C55A11" w:sz="8"/>
              <w:right w:val="single" w:color="C55A11" w:sz="8"/>
            </w:tcBorders>
            <w:shd w:fill="FFF2CC" w:val="clear"/>
            <w:tcMar>
              <w:top w:type="dxa" w:w="120"/>
              <w:left w:type="dxa" w:w="200"/>
              <w:bottom w:type="dxa" w:w="120"/>
              <w:right w:type="dxa" w:w="200"/>
            </w:tcMar>
          </w:tcPr>
          <w:p>
            <w:r>
              <w:rPr>
                <w:rFonts w:ascii="Arial" w:cs="Arial" w:eastAsia="Arial" w:hAnsi="Arial"/>
                <w:b w:val="false"/>
                <w:bCs w:val="false"/>
                <w:color w:val="8B6914"/>
                <w:sz w:val="19"/>
                <w:szCs w:val="19"/>
              </w:rPr>
              <w:t xml:space="preserve">💡  Applicabilité Desjardins : L'implémentation du modèle GAN nécessite un historique de données d'offres structuré (taux proposé + décision client + profil). Si cet historique n'existe pas encore, la PREMIÈRE étape est d'instrumenter le CRM pour capturer systématiquement les offres refusées — une donnée d'une valeur analytique considérable qui est actuellement perdue.</w:t>
            </w:r>
          </w:p>
        </w:tc>
      </w:tr>
    </w:tbl>
    <w:p>
      <w:pPr>
        <w:spacing w:after="0" w:before="0"/>
      </w:pPr>
      <w:r>
        <w:br w:type="page"/>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33" w:sz="0"/>
              <w:left w:val="single" w:color="004D33" w:sz="0"/>
              <w:bottom w:val="single" w:color="004D33" w:sz="0"/>
              <w:right w:val="single" w:color="004D33" w:sz="0"/>
            </w:tcBorders>
            <w:shd w:fill="004D33" w:val="clear"/>
            <w:tcMar>
              <w:top w:type="dxa" w:w="200"/>
              <w:left w:type="dxa" w:w="300"/>
              <w:bottom w:type="dxa" w:w="200"/>
              <w:right w:type="dxa" w:w="300"/>
            </w:tcMar>
          </w:tcPr>
          <w:p>
            <w:pPr>
              <w:spacing w:after="0" w:before="0"/>
              <w:jc w:val="center"/>
            </w:pPr>
            <w:r>
              <w:rPr>
                <w:rFonts w:ascii="Arial" w:cs="Arial" w:eastAsia="Arial" w:hAnsi="Arial"/>
                <w:b/>
                <w:bCs/>
                <w:color w:val="C2E0CF"/>
                <w:sz w:val="52"/>
                <w:szCs w:val="52"/>
              </w:rPr>
              <w:t xml:space="preserve">08</w:t>
            </w:r>
          </w:p>
          <w:p>
            <w:pPr>
              <w:spacing w:after="0" w:before="80"/>
              <w:jc w:val="center"/>
            </w:pPr>
            <w:r>
              <w:rPr>
                <w:rFonts w:ascii="Arial" w:cs="Arial" w:eastAsia="Arial" w:hAnsi="Arial"/>
                <w:b/>
                <w:bCs/>
                <w:color w:val="FFFFFF"/>
                <w:sz w:val="34"/>
                <w:szCs w:val="34"/>
              </w:rPr>
              <w:t xml:space="preserve">QUICK WINS VS INITIATIVES TRANSFORMATIONNELLES</w:t>
            </w:r>
          </w:p>
        </w:tc>
      </w:tr>
    </w:tbl>
    <w:p>
      <w:pPr>
        <w:spacing w:before="200"/>
      </w:pPr>
      <w:r>
        <w:t xml:space="preserve"/>
      </w:r>
    </w:p>
    <w:p>
      <w:pPr>
        <w:spacing w:after="80" w:before="80"/>
      </w:pPr>
      <w:r>
        <w:rPr>
          <w:rFonts w:ascii="Arial" w:cs="Arial" w:eastAsia="Arial" w:hAnsi="Arial"/>
          <w:color w:val="404040"/>
          <w:sz w:val="20"/>
          <w:szCs w:val="20"/>
        </w:rPr>
        <w:t xml:space="preserve">Certains projets sont à mise en œuvre rapide (quick wins), reposant sur des analyses de données déjà disponibles et peu ou pas de nouveaux systèmes. D'autres exigent une transformation profonde impliquant une refonte organisationnelle, de lourds investissements technologiques et un pilotage au niveau du comité de direction.</w:t>
      </w:r>
    </w:p>
    <w:p>
      <w:pPr>
        <w:spacing w:after="80" w:before="40"/>
        <w:ind w:left="200"/>
      </w:pPr>
      <w:r>
        <w:rPr>
          <w:rFonts w:ascii="Arial" w:cs="Arial" w:eastAsia="Arial" w:hAnsi="Arial"/>
          <w:i/>
          <w:iCs/>
          <w:color w:val="006B6B"/>
          <w:sz w:val="16"/>
          <w:szCs w:val="16"/>
        </w:rPr>
        <w:t xml:space="preserve">📚 Source : Document de référence — Tarification bancaire aux entreprises : principes généraux</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1100"/>
        <w:gridCol w:w="1700"/>
        <w:gridCol w:w="1960"/>
      </w:tblGrid>
      <w:tr>
        <w:trPr>
          <w:tblHeader/>
        </w:trPr>
        <w:tc>
          <w:tcPr>
            <w:tcW w:type="dxa" w:w="28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Initiative</w:t>
            </w:r>
          </w:p>
        </w:tc>
        <w:tc>
          <w:tcPr>
            <w:tcW w:type="dxa" w:w="9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Horizon</w:t>
            </w:r>
          </w:p>
        </w:tc>
        <w:tc>
          <w:tcPr>
            <w:tcW w:type="dxa" w:w="11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Investissement</w:t>
            </w:r>
          </w:p>
        </w:tc>
        <w:tc>
          <w:tcPr>
            <w:tcW w:type="dxa" w:w="17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Impact revenu estimé</w:t>
            </w:r>
          </w:p>
        </w:tc>
        <w:tc>
          <w:tcPr>
            <w:tcW w:type="dxa" w:w="196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Dépendances clés</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Governance du pricing (matrice concessions + plancher RAROC)</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Quick Win</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0–3 mois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Très faible</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Réduction concessions 10–20 %</w:t>
            </w:r>
          </w:p>
        </w:tc>
        <w:tc>
          <w:tcPr>
            <w:tcW w:type="dxa" w:w="1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Politique + approbation direction</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Rapport de sous-tarification (RAROC scoring anomalie)</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Quick Win</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0–3 mois</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Faible</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+$2M–$8M/an</w:t>
            </w:r>
          </w:p>
        </w:tc>
        <w:tc>
          <w:tcPr>
            <w:tcW w:type="dxa" w:w="1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Données taux + profil risque disponibles</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Tableau de bord suivi de marge (NIM/PMO) — BI</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Quick Win</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1–3 mois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Visibilité améliorée</w:t>
            </w:r>
          </w:p>
        </w:tc>
        <w:tc>
          <w:tcPr>
            <w:tcW w:type="dxa" w:w="1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Entrepôt données minimal</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Segmentation client sur la rentabilité (analyse ABC)</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Foundational</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3–6 mois</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Focus efforts commerciaux</w:t>
            </w:r>
          </w:p>
        </w:tc>
        <w:tc>
          <w:tcPr>
            <w:tcW w:type="dxa" w:w="1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Système profitabilité ABC</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Benchmarking tarifaire structuré (manuel→automatisé)</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Quick Win</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3–6 mois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Décisions mieux informées</w:t>
            </w:r>
          </w:p>
        </w:tc>
        <w:tc>
          <w:tcPr>
            <w:tcW w:type="dxa" w:w="1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Sources externes intel</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Modèle de prédiction d'acceptation de crédit V1</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Foundational</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6–12 mois</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Base pour NBO et Advisor</w:t>
            </w:r>
          </w:p>
        </w:tc>
        <w:tc>
          <w:tcPr>
            <w:tcW w:type="dxa" w:w="1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Historique offres structuré</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churn pricing V1</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Foundational</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9–15 mois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Moyen</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+$5M–$12M/an</w:t>
            </w:r>
          </w:p>
        </w:tc>
        <w:tc>
          <w:tcPr>
            <w:tcW w:type="dxa" w:w="1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Données comportementales + CRM</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Simulation scénarios rentabilité (RAROC Live)</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Foundational</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9–15 mois</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Meilleures décisions négociation</w:t>
            </w:r>
          </w:p>
        </w:tc>
        <w:tc>
          <w:tcPr>
            <w:tcW w:type="dxa" w:w="1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FTP uniforme + ABC opérationnel</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Pricing Advisor CRM (taux recommandé + SHAP)</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Transformationnel</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12–18 mois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+$5M–$15M/an</w:t>
            </w:r>
          </w:p>
        </w:tc>
        <w:tc>
          <w:tcPr>
            <w:tcW w:type="dxa" w:w="1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Élasticité + profitabilité + CRM intégré</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Score concurrent NBO externe (mandat FM-PVPE-2025)</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Transformationnel</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18–30 mois</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Élevé</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+$3M–$10M/an</w:t>
            </w:r>
          </w:p>
        </w:tc>
        <w:tc>
          <w:tcPr>
            <w:tcW w:type="dxa" w:w="1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Pipeline données + conformité Loi 25</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Datalake/architecture cloud unifiée</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Transformationnel — Essentiel</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12–24 mois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Très élevé</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Fondation de toutes les initiatives</w:t>
            </w:r>
          </w:p>
        </w:tc>
        <w:tc>
          <w:tcPr>
            <w:tcW w:type="dxa" w:w="1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TI + Architecture + Gouvernance</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Copilote IA négociation (LLM + RAG + GAN)</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Futur</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24–36 mois</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Très élevé</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+$10M–$20M/an</w:t>
            </w:r>
          </w:p>
        </w:tc>
        <w:tc>
          <w:tcPr>
            <w:tcW w:type="dxa" w:w="1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Infrastructure LLM sécurisée</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Reinforcement Learning pricing adaptatif</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Futur</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36–48 mois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Très élevé</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Potentiel maximal long terme</w:t>
            </w:r>
          </w:p>
        </w:tc>
        <w:tc>
          <w:tcPr>
            <w:tcW w:type="dxa" w:w="1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Tous les modèles précédents + RL Ops</w:t>
            </w:r>
          </w:p>
        </w:tc>
      </w:tr>
    </w:tbl>
    <w:p>
      <w:pPr>
        <w:spacing w:after="0" w:before="0"/>
      </w:pPr>
      <w:r>
        <w:br w:type="page"/>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33" w:sz="0"/>
              <w:left w:val="single" w:color="004D33" w:sz="0"/>
              <w:bottom w:val="single" w:color="004D33" w:sz="0"/>
              <w:right w:val="single" w:color="004D33" w:sz="0"/>
            </w:tcBorders>
            <w:shd w:fill="004D33" w:val="clear"/>
            <w:tcMar>
              <w:top w:type="dxa" w:w="200"/>
              <w:left w:type="dxa" w:w="300"/>
              <w:bottom w:type="dxa" w:w="200"/>
              <w:right w:type="dxa" w:w="300"/>
            </w:tcMar>
          </w:tcPr>
          <w:p>
            <w:pPr>
              <w:spacing w:after="0" w:before="0"/>
              <w:jc w:val="center"/>
            </w:pPr>
            <w:r>
              <w:rPr>
                <w:rFonts w:ascii="Arial" w:cs="Arial" w:eastAsia="Arial" w:hAnsi="Arial"/>
                <w:b/>
                <w:bCs/>
                <w:color w:val="C2E0CF"/>
                <w:sz w:val="52"/>
                <w:szCs w:val="52"/>
              </w:rPr>
              <w:t xml:space="preserve">09</w:t>
            </w:r>
          </w:p>
          <w:p>
            <w:pPr>
              <w:spacing w:after="60" w:before="80"/>
              <w:jc w:val="center"/>
            </w:pPr>
            <w:r>
              <w:rPr>
                <w:rFonts w:ascii="Arial" w:cs="Arial" w:eastAsia="Arial" w:hAnsi="Arial"/>
                <w:b/>
                <w:bCs/>
                <w:color w:val="FFFFFF"/>
                <w:sz w:val="34"/>
                <w:szCs w:val="34"/>
              </w:rPr>
              <w:t xml:space="preserve">ROADMAP ANALYTIQUE DE MATURITÉ EN 6 PHASES</w:t>
            </w:r>
          </w:p>
          <w:p>
            <w:pPr>
              <w:spacing w:after="0" w:before="0"/>
              <w:jc w:val="center"/>
            </w:pPr>
            <w:r>
              <w:rPr>
                <w:rFonts w:ascii="Arial" w:cs="Arial" w:eastAsia="Arial" w:hAnsi="Arial"/>
                <w:i/>
                <w:iCs/>
                <w:color w:val="E8F5EF"/>
                <w:sz w:val="20"/>
                <w:szCs w:val="20"/>
              </w:rPr>
              <w:t xml:space="preserve">De la fondation des données à l'IA autonome</w:t>
            </w:r>
          </w:p>
        </w:tc>
      </w:tr>
    </w:tbl>
    <w:p>
      <w:pPr>
        <w:spacing w:before="200"/>
      </w:pPr>
      <w:r>
        <w:t xml:space="preserve"/>
      </w:r>
    </w:p>
    <w:p>
      <w:pPr>
        <w:spacing w:after="80" w:before="80"/>
      </w:pPr>
      <w:r>
        <w:rPr>
          <w:rFonts w:ascii="Arial" w:cs="Arial" w:eastAsia="Arial" w:hAnsi="Arial"/>
          <w:color w:val="404040"/>
          <w:sz w:val="20"/>
          <w:szCs w:val="20"/>
        </w:rPr>
        <w:t xml:space="preserve">Une feuille de route efficace suit des étapes progressives, de la centralisation des données à l'optimisation algorithmique complète. McKinsey recommande aux banques d'adopter des plateformes de données transversales sur cloud, favorisant l'open source et l'automatisation.</w:t>
      </w:r>
    </w:p>
    <w:p>
      <w:pPr>
        <w:spacing w:after="80" w:before="40"/>
        <w:ind w:left="200"/>
      </w:pPr>
      <w:r>
        <w:rPr>
          <w:rFonts w:ascii="Arial" w:cs="Arial" w:eastAsia="Arial" w:hAnsi="Arial"/>
          <w:i/>
          <w:iCs/>
          <w:color w:val="006B6B"/>
          <w:sz w:val="16"/>
          <w:szCs w:val="16"/>
        </w:rPr>
        <w:t xml:space="preserve">📚 Source : McKinsey — Getting the data architecture right in banking (McKinsey Tech Forward)</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200"/>
        <w:gridCol w:w="3000"/>
        <w:gridCol w:w="2860"/>
      </w:tblGrid>
      <w:tr>
        <w:trPr>
          <w:tblHeader/>
        </w:trPr>
        <w:tc>
          <w:tcPr>
            <w:tcW w:type="dxa" w:w="12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Phase</w:t>
            </w:r>
          </w:p>
        </w:tc>
        <w:tc>
          <w:tcPr>
            <w:tcW w:type="dxa" w:w="11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Période</w:t>
            </w:r>
          </w:p>
        </w:tc>
        <w:tc>
          <w:tcPr>
            <w:tcW w:type="dxa" w:w="12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Niveau de maturité</w:t>
            </w:r>
          </w:p>
        </w:tc>
        <w:tc>
          <w:tcPr>
            <w:tcW w:type="dxa" w:w="30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Initiatives clés</w:t>
            </w:r>
          </w:p>
        </w:tc>
        <w:tc>
          <w:tcPr>
            <w:tcW w:type="dxa" w:w="286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Livrables cibles</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Phase 1
Fondations données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0–6 mois</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Niveau 1 : Descriptif
(Reporting)</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Centraliser et nettoyer les données : core-banking, CRM, risques, compta analytique
• Gouvernance du pricing (matrice concessions)
• Tableau de bord suivi de marge (NIM)
• Benchmarking structuré
• Rapport sous-tarification initial</w:t>
            </w:r>
          </w:p>
        </w:tc>
        <w:tc>
          <w:tcPr>
            <w:tcW w:type="dxa" w:w="28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Rapport anomalies pricing mensuel
• Matrice autorisation concessions
• Dashboard DC NIM/RAROC simplifié
• Entrepôt de données pricing unifié</w:t>
            </w:r>
          </w:p>
        </w:tc>
      </w:tr>
      <w:tr>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Phase 2
Analytique de base</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6–18 mois</w:t>
            </w:r>
          </w:p>
        </w:tc>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Niveau 2 : Diagnostique
(Analyse)</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Automatiser reporting marges (waterfall pricing)
• Segmentation client rentabilité (ABC/RFM)
• Premiers modèles prédictifs (churn V1, acceptation V1)
• FTP uniformisé PVP Entreprises
• Score concurrent NBO externe V1</w:t>
            </w:r>
          </w:p>
        </w:tc>
        <w:tc>
          <w:tcPr>
            <w:tcW w:type="dxa" w:w="28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Tableau de bord waterfall interactif
• Scoring churn mensuel dans CRM
• Alertes clients à risque
• Taux FTP harmonisés
• Premiers scores concurrentiels</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Phase 3
ML et prédictif</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18–30 mois</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Niveau 3 : Prédictif
(Modélisation)</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Déployer moteur ML pricing (modèle acceptation + risque combiné)
• Pricing Advisor CRM intégré (SHAP explainabilité)
• Score NBO externe V2 (12 catégories produits)
• RAROC Live simulation what-if
• Centre d'Excellence Data Science dédié</w:t>
            </w:r>
          </w:p>
        </w:tc>
        <w:tc>
          <w:tcPr>
            <w:tcW w:type="dxa" w:w="28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Outil pricing DC intégré CRM
• Probabilité acceptation live par offre
• Score concurrent full coverage membres
• Tableau RAROC interactif temps réel</w:t>
            </w:r>
          </w:p>
        </w:tc>
      </w:tr>
      <w:tr>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Phase 4
Prescriptif IA</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30–42 mois</w:t>
            </w:r>
          </w:p>
        </w:tc>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Niveau 4 : Prescriptif
(Recommandation)</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Copilote IA négociation (LLM + RAG + données client)
• NBO pricing dynamique (Contextual Bandits)
• Optimisation portefeuille capital (MILP)
• Causal inference — framework A/B tests pricing
• Simulation Monte Carlo pricing scenarios</w:t>
            </w:r>
          </w:p>
        </w:tc>
        <w:tc>
          <w:tcPr>
            <w:tcW w:type="dxa" w:w="28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Copilote déployé (pilote DCs sélectionnés)
• Moteur NBO temps réel en CRM
• Allocation capital optimisée
• Framework expérimentation pricing</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Phase 5
Optimisation autonome</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42+ mois</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Niveau 5 : Autonome
(IA avancée)</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Modèle GAN de type BCG pour pricing commercial
• Reinforcement Learning pricing adaptatif
• Pricing entièrement personnalisé 1-to-1
• Écosystème données enrichi (open banking)
• Pricing prédictif anticipatoire</w:t>
            </w:r>
          </w:p>
        </w:tc>
        <w:tc>
          <w:tcPr>
            <w:tcW w:type="dxa" w:w="28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Plateforme pricing IA autonome
• Personnalisation pricing 1-to-1
• Avantage concurrentiel durable</w:t>
            </w:r>
          </w:p>
        </w:tc>
      </w:tr>
      <w:tr>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Phase 6
Gouvernance continue</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En parallèle de toutes les phases</w:t>
            </w:r>
          </w:p>
        </w:tc>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Niveau transversal
(Pilotage)</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Comité tarifaire transversal (Finance + Risque + Commercial + Conformité)
• Réexamen périodique des grilles et algorithmes
• Ajustement des modèles avec les données réelles
• Conformité réglementaire continue (Loi 25, BSIF)
• Boucle d'amélioration basée sur les KPIs</w:t>
            </w:r>
          </w:p>
        </w:tc>
        <w:tc>
          <w:tcPr>
            <w:tcW w:type="dxa" w:w="28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Rapport trimestriel performance modèles
• Audit trail complet des décisions
• MLflow Model Registry à jour
• Conformité documentée</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9.1  Facteurs organisationnels critiques de succès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Facteur</w:t>
            </w:r>
          </w:p>
        </w:tc>
        <w:tc>
          <w:tcPr>
            <w:tcW w:type="dxa" w:w="42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276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Risque si absent</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Sponsorship exécutif fort</w:t>
            </w:r>
          </w:p>
        </w:tc>
        <w:tc>
          <w:tcPr>
            <w:tcW w:type="dxa" w:w="4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Alignement de la stratégie commerciale et de l'IA au niveau de la direction PVP</w:t>
            </w:r>
          </w:p>
        </w:tc>
        <w:tc>
          <w:tcPr>
            <w:tcW w:type="dxa" w:w="2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Manque de ressources, projets abandonnés, retour aux pratiques intuitives</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Ownership métier des modèles</w:t>
            </w:r>
          </w:p>
        </w:tc>
        <w:tc>
          <w:tcPr>
            <w:tcW w:type="dxa" w:w="4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Les DCs et gestionnaires doivent s'approprier les outils — pas seulement les data scientists</w:t>
            </w:r>
          </w:p>
        </w:tc>
        <w:tc>
          <w:tcPr>
            <w:tcW w:type="dxa" w:w="2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Adoption nulle — les modèles restent dans les laptops</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Qualité et disponibilité des données</w:t>
            </w:r>
          </w:p>
        </w:tc>
        <w:tc>
          <w:tcPr>
            <w:tcW w:type="dxa" w:w="4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Données de taux, profitabilité et risque fiables, complètes et intégrées</w:t>
            </w:r>
          </w:p>
        </w:tc>
        <w:tc>
          <w:tcPr>
            <w:tcW w:type="dxa" w:w="2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Modèles biaisés, recommandations erronées — pire que pas de modèle</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FTP uniforme PVP</w:t>
            </w:r>
          </w:p>
        </w:tc>
        <w:tc>
          <w:tcPr>
            <w:tcW w:type="dxa" w:w="4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Sans FTP bien calibré, le RAROC client ne peut être calculé correctement</w:t>
            </w:r>
          </w:p>
        </w:tc>
        <w:tc>
          <w:tcPr>
            <w:tcW w:type="dxa" w:w="2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Décisions basées sur des marges fictives ou incomparables</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Culture data-driven</w:t>
            </w:r>
          </w:p>
        </w:tc>
        <w:tc>
          <w:tcPr>
            <w:tcW w:type="dxa" w:w="4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Les concessions doivent être documentées et justifiées analytiquement — pas de 'feeling'</w:t>
            </w:r>
          </w:p>
        </w:tc>
        <w:tc>
          <w:tcPr>
            <w:tcW w:type="dxa" w:w="2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Retour aux pratiques intuitives malgré l'investissement dans les outils</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Gouvernance des modèles</w:t>
            </w:r>
          </w:p>
        </w:tc>
        <w:tc>
          <w:tcPr>
            <w:tcW w:type="dxa" w:w="4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Validation, monitoring de drift, réentraînement régulier des modèles (MLflow)</w:t>
            </w:r>
          </w:p>
        </w:tc>
        <w:tc>
          <w:tcPr>
            <w:tcW w:type="dxa" w:w="2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Dérive des modèles, décisions incorrectes dans le temps sans que personne le sache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Équipe pluridisciplinaire</w:t>
            </w:r>
          </w:p>
        </w:tc>
        <w:tc>
          <w:tcPr>
            <w:tcW w:type="dxa" w:w="4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 scientists + experts crédit + directeurs de comptes + conformité + TI</w:t>
            </w:r>
          </w:p>
        </w:tc>
        <w:tc>
          <w:tcPr>
            <w:tcW w:type="dxa" w:w="2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Modèles académiquement beaux mais inutilisables en pratique bancaire</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Conformité intégrée dès le début</w:t>
            </w:r>
          </w:p>
        </w:tc>
        <w:tc>
          <w:tcPr>
            <w:tcW w:type="dxa" w:w="4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Revue Loi 25, LPCR, règles BSIF intégrées dès la conception (Privacy by Design)</w:t>
            </w:r>
          </w:p>
        </w:tc>
        <w:tc>
          <w:tcPr>
            <w:tcW w:type="dxa" w:w="2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Blocage en phase de déploiement, retravail coûteux, risque réputationnel</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Incentives alignées</w:t>
            </w:r>
          </w:p>
        </w:tc>
        <w:tc>
          <w:tcPr>
            <w:tcW w:type="dxa" w:w="4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Métriques de performance des DCs incluant le RAROC moyen signé (pas que le volume)</w:t>
            </w:r>
          </w:p>
        </w:tc>
        <w:tc>
          <w:tcPr>
            <w:tcW w:type="dxa" w:w="2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Les DCs sabotent involontairement le pricing en optimisant leur bonus vs le revenu bancaire</w:t>
            </w:r>
          </w:p>
        </w:tc>
      </w:tr>
    </w:tbl>
    <w:p>
      <w:pPr>
        <w:spacing w:after="0" w:before="0"/>
      </w:pPr>
      <w:r>
        <w:br w:type="page"/>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33" w:sz="0"/>
              <w:left w:val="single" w:color="004D33" w:sz="0"/>
              <w:bottom w:val="single" w:color="004D33" w:sz="0"/>
              <w:right w:val="single" w:color="004D33" w:sz="0"/>
            </w:tcBorders>
            <w:shd w:fill="004D33" w:val="clear"/>
            <w:tcMar>
              <w:top w:type="dxa" w:w="200"/>
              <w:left w:type="dxa" w:w="300"/>
              <w:bottom w:type="dxa" w:w="200"/>
              <w:right w:type="dxa" w:w="300"/>
            </w:tcMar>
          </w:tcPr>
          <w:p>
            <w:pPr>
              <w:spacing w:after="0" w:before="0"/>
              <w:jc w:val="center"/>
            </w:pPr>
            <w:r>
              <w:rPr>
                <w:rFonts w:ascii="Arial" w:cs="Arial" w:eastAsia="Arial" w:hAnsi="Arial"/>
                <w:b/>
                <w:bCs/>
                <w:color w:val="C2E0CF"/>
                <w:sz w:val="52"/>
                <w:szCs w:val="52"/>
              </w:rPr>
              <w:t xml:space="preserve">10</w:t>
            </w:r>
          </w:p>
          <w:p>
            <w:pPr>
              <w:spacing w:after="60" w:before="80"/>
              <w:jc w:val="center"/>
            </w:pPr>
            <w:r>
              <w:rPr>
                <w:rFonts w:ascii="Arial" w:cs="Arial" w:eastAsia="Arial" w:hAnsi="Arial"/>
                <w:b/>
                <w:bCs/>
                <w:color w:val="FFFFFF"/>
                <w:sz w:val="34"/>
                <w:szCs w:val="34"/>
              </w:rPr>
              <w:t xml:space="preserve">BENCHMARKING MONDIAL</w:t>
            </w:r>
          </w:p>
          <w:p>
            <w:pPr>
              <w:spacing w:after="0" w:before="0"/>
              <w:jc w:val="center"/>
            </w:pPr>
            <w:r>
              <w:rPr>
                <w:rFonts w:ascii="Arial" w:cs="Arial" w:eastAsia="Arial" w:hAnsi="Arial"/>
                <w:i/>
                <w:iCs/>
                <w:color w:val="E8F5EF"/>
                <w:sz w:val="20"/>
                <w:szCs w:val="20"/>
              </w:rPr>
              <w:t xml:space="preserve">JPMorgan • Capital One • Goldman Sachs • RBC • TD • BBVA • ING</w:t>
            </w:r>
          </w:p>
        </w:tc>
      </w:tr>
    </w:tbl>
    <w:p>
      <w:pPr>
        <w:spacing w:before="200"/>
      </w:pPr>
      <w:r>
        <w:t xml:space="preserve"/>
      </w:r>
    </w:p>
    <w:p>
      <w:pPr>
        <w:spacing w:after="80" w:before="80"/>
      </w:pPr>
      <w:r>
        <w:rPr>
          <w:rFonts w:ascii="Arial" w:cs="Arial" w:eastAsia="Arial" w:hAnsi="Arial"/>
          <w:color w:val="404040"/>
          <w:sz w:val="20"/>
          <w:szCs w:val="20"/>
        </w:rPr>
        <w:t xml:space="preserve">Selon l'indice AI d'Evident Insights (novembre 2023), JPMorgan arrive en tête d'adoption de l'IA (n°1 mondial), suivi de Capital One et de RBC (3e canadien). Goldman Sachs (3e global) et ING (8e global) ont de fortes équipes d'analytique optimisant les prix via des modèles internes et des outils de simulation.</w:t>
      </w:r>
    </w:p>
    <w:p>
      <w:pPr>
        <w:spacing w:after="80" w:before="40"/>
        <w:ind w:left="200"/>
      </w:pPr>
      <w:r>
        <w:rPr>
          <w:rFonts w:ascii="Arial" w:cs="Arial" w:eastAsia="Arial" w:hAnsi="Arial"/>
          <w:i/>
          <w:iCs/>
          <w:color w:val="006B6B"/>
          <w:sz w:val="16"/>
          <w:szCs w:val="16"/>
        </w:rPr>
        <w:t xml:space="preserve">📚 Source : Oracle — Leading banks rolling out more generative AI (oracle.com/artificial-intelligence/banking-genai)</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600"/>
        <w:gridCol w:w="2400"/>
        <w:gridCol w:w="2060"/>
      </w:tblGrid>
      <w:tr>
        <w:trPr>
          <w:tblHeader/>
        </w:trPr>
        <w:tc>
          <w:tcPr>
            <w:tcW w:type="dxa" w:w="14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Institution</w:t>
            </w:r>
          </w:p>
        </w:tc>
        <w:tc>
          <w:tcPr>
            <w:tcW w:type="dxa" w:w="9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Rang AI
(Evident 2023)</w:t>
            </w:r>
          </w:p>
        </w:tc>
        <w:tc>
          <w:tcPr>
            <w:tcW w:type="dxa" w:w="26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Innovations clés pricing</w:t>
            </w:r>
          </w:p>
        </w:tc>
        <w:tc>
          <w:tcPr>
            <w:tcW w:type="dxa" w:w="24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Données concrètes documentées</w:t>
            </w:r>
          </w:p>
        </w:tc>
        <w:tc>
          <w:tcPr>
            <w:tcW w:type="dxa" w:w="206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Leçons pour Desjardins</w:t>
            </w:r>
          </w:p>
        </w:tc>
      </w:tr>
      <w:tr>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JPMorgan Chase</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 mondial</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IA pour personnaliser offres cartes et recommandations commerciales
• LLM interne pour pricing et engagement client
• NBO algorithmique pour chargés d'affaires entreprises
• Centre d'excellence pricing dédié (200+ personnes)</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Jamie Dimon : 'l'IA façonne le pricing, l'engagement client et la gestion du risque' (PYMNTS, 2026). Algorithmes internes suggèrent les meilleures actions à prendre pour chaque entreprise cliente.</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Investissement massif en infra data est un pré-requis. Le pricing ML ne fonctionne qu'avec des données client complètes et intégrées. La vitesse d'itération est une compétence organisationnelle critique.</w:t>
            </w:r>
          </w:p>
        </w:tc>
      </w:tr>
      <w:tr>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Capital One (Commercial)</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 mondial</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Entreprise entièrement 'data-native' depuis 2012
• A/B testing systématique de tous les prix
• Elasticity modeling en production
• Reinforcement Learning pour offres de rétention
• ML Ops mature — déploiement continu modèles</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Capital One est classé #2 sur l'indice Evident Insights AI banking.</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L'A/B testing est la clé : sans expérimentation contrôlée, on ne mesure pas l'impact réel du pricing. Desjardins devrait lancer un programme d'expérimentation pricing dès Phase 2. La culture data doit précéder les outils.</w:t>
            </w:r>
          </w:p>
        </w:tc>
      </w:tr>
      <w:tr>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Goldman Sachs (Marcus/TxB)</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 mondial</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Pricing dynamique pour dépôts entreprises
• Segmentation ultra-fine par comportement
• Transaction Banking (TxB) : pricing fees automatisé
• Fortes équipes analytique optimisant prix via modèles internes</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3e sur l'indice Evident Insights AI banking. Optimisation prix via modèles internes et outils de simulation documentés.</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La transparence du pricing (offrir aux clients une vue de leur pricing) crée une différenciation. TD a gagné des parts de marché PME avec le pricing dynamique des dépôts.</w:t>
            </w:r>
          </w:p>
        </w:tc>
      </w:tr>
      <w:tr>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RBC (Canada)</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 Canada</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Centre de recherche IA 'Borealis AI'
• LLM pour recherche et service client (prudence réglementaire)
• Outil RAROC client intégré aux DCs
• Pricing recommandé par ML dans myAdvisor Business
• Gouvernance pricing très mature</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RBC — 3e canadien sur l'indice Evident AI. 'Prudente sur les usages génératifs face aux régulateurs' (Oracle/conference). Borealis AI expérimente les LLM.</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RBC est le benchmark canadien direct. Leur outil de pricing recommandé pour les DCs commerciaux a réduit les concessions de 18 % et augmenté le taux de conversion de 12 % (estimations sectorielles).</w:t>
            </w:r>
          </w:p>
        </w:tc>
      </w:tr>
      <w:tr>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TD (Canada)</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Top Canada</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Investissements massifs en IA pour le crédit et la détection de fraudes
• Pricing dynamique des dépôts (compétitif GIC)
• Horizon ~2026 : IA intégrée aux interactions entreprises
• Segmentation PME améliorée</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TD a investi massivement en IA pour le crédit et la détection de fraudes, montrant un horizon 2026 pour l'IA dans les interactions entreprises.</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TD montre qu'on peut avancer rapidement sur le pricing des dépôts sans attendre la maturité complète sur le crédit. La rapidité de déploiement partiel crée de la valeur immédiate.</w:t>
            </w:r>
          </w:p>
        </w:tc>
      </w:tr>
      <w:tr>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BBVA (Espagne/Global)</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Top 10 mondial</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Pricing personnalisé 1-to-1 pour clients entreprises
• IA générative pour scoring et pricing en temps réel
• Open banking pour enrichir modèles de risque
• Centre d'IA Espagne + Mexico (500+ data scientists)
• Pricing modulaire / par abonnement (embedded finance)</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BBVA est un leader IA en Europe. Les néobanques et fintechs comme BBVA exploitent la data pour proposer du pricing par abonnement ou modulaire, obligeant les banques traditionnelles à repenser leur tarification.</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BBVA prouve que même une banque non-américaine peut atteindre la frontière technologique avec les bons investissements. Le pricing par abonnement / modulaire est une menace émergente sur le segment PME.</w:t>
            </w:r>
          </w:p>
        </w:tc>
      </w:tr>
      <w:tr>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ING (Pays-Bas)</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#8 mondial</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Décision crédit PME en 5 minutes — speed = levier tarifaire
• ING Labs : incubateur cas d'usage pricing IA
• Pricing temps réel sur crédits PME
• Cloud-native data architecture
• Fortes équipes analytique, outils de simulation</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8e sur l'indice Evident Insights AI banking. ING démontre que la rapidité de décision (5 min) est elle-même un levier tarifaire.</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ING démontre que la rapidité de décision de crédit est un levier tarifaire : les clients acceptent un spread légèrement supérieur en échange de la rapidité. Speed-to-market = valeur client = pricing premium justifié.</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8"/>
              <w:left w:val="single" w:color="C55A11" w:sz="8"/>
              <w:bottom w:val="single" w:color="C55A11" w:sz="8"/>
              <w:right w:val="single" w:color="C55A11" w:sz="8"/>
            </w:tcBorders>
            <w:shd w:fill="FFF2CC" w:val="clear"/>
            <w:tcMar>
              <w:top w:type="dxa" w:w="120"/>
              <w:left w:type="dxa" w:w="200"/>
              <w:bottom w:type="dxa" w:w="120"/>
              <w:right w:type="dxa" w:w="200"/>
            </w:tcMar>
          </w:tcPr>
          <w:p>
            <w:r>
              <w:rPr>
                <w:rFonts w:ascii="Arial" w:cs="Arial" w:eastAsia="Arial" w:hAnsi="Arial"/>
                <w:b w:val="false"/>
                <w:bCs w:val="false"/>
                <w:color w:val="8B6914"/>
                <w:sz w:val="19"/>
                <w:szCs w:val="19"/>
              </w:rPr>
              <w:t xml:space="preserve">🏆  Positionnement Desjardins : Dans ce benchmark, Desjardins se situe actuellement entre ★★☆☆☆ et ★★★☆☆. Le potentiel de progression est immense. La nature coopérative de Desjardins est un atout différenciateur si bien communiquée : les membres comprennent que la tarification sert la collectivité, pas les actionnaires. Cela peut légitimer une stratégie de 'pricing équitable et transparent' — une différenciation narrative puissante dans un contexte de méfiance croissante envers les grandes banques.</w:t>
            </w:r>
          </w:p>
        </w:tc>
      </w:tr>
    </w:tbl>
    <w:p>
      <w:pPr>
        <w:spacing w:after="0" w:before="0"/>
      </w:pPr>
      <w:r>
        <w:br w:type="page"/>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33" w:sz="0"/>
              <w:left w:val="single" w:color="004D33" w:sz="0"/>
              <w:bottom w:val="single" w:color="004D33" w:sz="0"/>
              <w:right w:val="single" w:color="004D33" w:sz="0"/>
            </w:tcBorders>
            <w:shd w:fill="004D33" w:val="clear"/>
            <w:tcMar>
              <w:top w:type="dxa" w:w="200"/>
              <w:left w:type="dxa" w:w="300"/>
              <w:bottom w:type="dxa" w:w="200"/>
              <w:right w:type="dxa" w:w="300"/>
            </w:tcMar>
          </w:tcPr>
          <w:p>
            <w:pPr>
              <w:spacing w:after="0" w:before="0"/>
              <w:jc w:val="center"/>
            </w:pPr>
            <w:r>
              <w:rPr>
                <w:rFonts w:ascii="Arial" w:cs="Arial" w:eastAsia="Arial" w:hAnsi="Arial"/>
                <w:b/>
                <w:bCs/>
                <w:color w:val="C2E0CF"/>
                <w:sz w:val="52"/>
                <w:szCs w:val="52"/>
              </w:rPr>
              <w:t xml:space="preserve">11</w:t>
            </w:r>
          </w:p>
          <w:p>
            <w:pPr>
              <w:spacing w:after="60" w:before="80"/>
              <w:jc w:val="center"/>
            </w:pPr>
            <w:r>
              <w:rPr>
                <w:rFonts w:ascii="Arial" w:cs="Arial" w:eastAsia="Arial" w:hAnsi="Arial"/>
                <w:b/>
                <w:bCs/>
                <w:color w:val="FFFFFF"/>
                <w:sz w:val="34"/>
                <w:szCs w:val="34"/>
              </w:rPr>
              <w:t xml:space="preserve">IDÉES CONCRÈTES D'AMÉLIORATION</w:t>
            </w:r>
          </w:p>
          <w:p>
            <w:pPr>
              <w:spacing w:after="0" w:before="0"/>
              <w:jc w:val="center"/>
            </w:pPr>
            <w:r>
              <w:rPr>
                <w:rFonts w:ascii="Arial" w:cs="Arial" w:eastAsia="Arial" w:hAnsi="Arial"/>
                <w:i/>
                <w:iCs/>
                <w:color w:val="E8F5EF"/>
                <w:sz w:val="20"/>
                <w:szCs w:val="20"/>
              </w:rPr>
              <w:t xml:space="preserve">Revenu • Expérience • Share of Wallet • Concessions</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11.1  Améliorer le ratio risque/rendement</w:t>
      </w:r>
    </w:p>
    <w:p>
      <w:pPr>
        <w:pStyle w:val="ListParagraph"/>
        <w:numPr>
          <w:ilvl w:val="0"/>
          <w:numId w:val="2"/>
        </w:numPr>
        <w:spacing w:after="60" w:before="60"/>
      </w:pPr>
      <w:r>
        <w:rPr>
          <w:rFonts w:ascii="Arial" w:cs="Arial" w:eastAsia="Arial" w:hAnsi="Arial"/>
          <w:b/>
          <w:bCs/>
          <w:color w:val="404040"/>
          <w:sz w:val="20"/>
          <w:szCs w:val="20"/>
        </w:rPr>
        <w:t xml:space="preserve">Implanter un plancher RAROC strict (non négociable) : aucune transaction signée sous le seuil de 12–15 % RAROC sans approbation comité</w:t>
      </w:r>
    </w:p>
    <w:p>
      <w:pPr>
        <w:pStyle w:val="ListParagraph"/>
        <w:numPr>
          <w:ilvl w:val="0"/>
          <w:numId w:val="2"/>
        </w:numPr>
        <w:spacing w:after="60" w:before="60"/>
      </w:pPr>
      <w:r>
        <w:rPr>
          <w:rFonts w:ascii="Arial" w:cs="Arial" w:eastAsia="Arial" w:hAnsi="Arial"/>
          <w:b w:val="false"/>
          <w:bCs w:val="false"/>
          <w:color w:val="404040"/>
          <w:sz w:val="20"/>
          <w:szCs w:val="20"/>
        </w:rPr>
        <w:t xml:space="preserve">Lier mieux le prix au risque : en ajustant le spread et en augmentant les taux sur les segments plus risqués, on s'assure que chaque prêt couvre ses pertes potentielles et accroît le RAROC moyen</w:t>
      </w:r>
    </w:p>
    <w:p>
      <w:pPr>
        <w:pStyle w:val="ListParagraph"/>
        <w:numPr>
          <w:ilvl w:val="0"/>
          <w:numId w:val="2"/>
        </w:numPr>
        <w:spacing w:after="60" w:before="60"/>
      </w:pPr>
      <w:r>
        <w:rPr>
          <w:rFonts w:ascii="Arial" w:cs="Arial" w:eastAsia="Arial" w:hAnsi="Arial"/>
          <w:b w:val="false"/>
          <w:bCs w:val="false"/>
          <w:color w:val="404040"/>
          <w:sz w:val="20"/>
          <w:szCs w:val="20"/>
        </w:rPr>
        <w:t xml:space="preserve">Développer un modèle de LGD dynamique : réviser régulièrement les estimations de perte en cas de défaut selon l'évolution des sûretés et du marché immobilier commercial</w:t>
      </w:r>
    </w:p>
    <w:p>
      <w:pPr>
        <w:pStyle w:val="ListParagraph"/>
        <w:numPr>
          <w:ilvl w:val="0"/>
          <w:numId w:val="2"/>
        </w:numPr>
        <w:spacing w:after="60" w:before="60"/>
      </w:pPr>
      <w:r>
        <w:rPr>
          <w:rFonts w:ascii="Arial" w:cs="Arial" w:eastAsia="Arial" w:hAnsi="Arial"/>
          <w:b w:val="false"/>
          <w:bCs w:val="false"/>
          <w:color w:val="404040"/>
          <w:sz w:val="20"/>
          <w:szCs w:val="20"/>
        </w:rPr>
        <w:t xml:space="preserve">Créer un portefeuille 'revue tarifaire systématique' : chaque facilité de crédit de plus de 3 ans sans révision est automatiquement signalée au DC</w:t>
      </w:r>
    </w:p>
    <w:p>
      <w:pPr>
        <w:pStyle w:val="ListParagraph"/>
        <w:numPr>
          <w:ilvl w:val="0"/>
          <w:numId w:val="2"/>
        </w:numPr>
        <w:spacing w:after="60" w:before="60"/>
      </w:pPr>
      <w:r>
        <w:rPr>
          <w:rFonts w:ascii="Arial" w:cs="Arial" w:eastAsia="Arial" w:hAnsi="Arial"/>
          <w:b w:val="false"/>
          <w:bCs w:val="false"/>
          <w:color w:val="404040"/>
          <w:sz w:val="20"/>
          <w:szCs w:val="20"/>
        </w:rPr>
        <w:t xml:space="preserve">Tarifer la convexité des marges de crédit : les facilités très peu utilisées vs celles utilisées à 80 %+ ont des comportements de risque liquide différents — les tarifer différemment</w:t>
      </w:r>
    </w:p>
    <w:p>
      <w:pPr>
        <w:spacing w:after="80" w:before="40"/>
        <w:ind w:left="200"/>
      </w:pPr>
      <w:r>
        <w:rPr>
          <w:rFonts w:ascii="Arial" w:cs="Arial" w:eastAsia="Arial" w:hAnsi="Arial"/>
          <w:i/>
          <w:iCs/>
          <w:color w:val="006B6B"/>
          <w:sz w:val="16"/>
          <w:szCs w:val="16"/>
        </w:rPr>
        <w:t xml:space="preserve">📚 Source : Can Demir — Developing an End-to-End Credit Pricing Model with ML</w:t>
      </w:r>
    </w:p>
    <w:p>
      <w:pPr>
        <w:spacing w:before="15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11.2  Augmenter les revenus</w:t>
      </w:r>
    </w:p>
    <w:p>
      <w:pPr>
        <w:pStyle w:val="ListParagraph"/>
        <w:numPr>
          <w:ilvl w:val="0"/>
          <w:numId w:val="2"/>
        </w:numPr>
        <w:spacing w:after="60" w:before="60"/>
      </w:pPr>
      <w:r>
        <w:rPr>
          <w:rFonts w:ascii="Arial" w:cs="Arial" w:eastAsia="Arial" w:hAnsi="Arial"/>
          <w:b/>
          <w:bCs/>
          <w:color w:val="404040"/>
          <w:sz w:val="20"/>
          <w:szCs w:val="20"/>
        </w:rPr>
        <w:t xml:space="preserve">Programme de monétisation des fees sous-exploités : audit systématique des services gratuits non justifiés par la relation (virements SWIFT sans frais, comptes sans frais de tenue)</w:t>
      </w:r>
    </w:p>
    <w:p>
      <w:pPr>
        <w:pStyle w:val="ListParagraph"/>
        <w:numPr>
          <w:ilvl w:val="0"/>
          <w:numId w:val="2"/>
        </w:numPr>
        <w:spacing w:after="60" w:before="60"/>
      </w:pPr>
      <w:r>
        <w:rPr>
          <w:rFonts w:ascii="Arial" w:cs="Arial" w:eastAsia="Arial" w:hAnsi="Arial"/>
          <w:b w:val="false"/>
          <w:bCs w:val="false"/>
          <w:color w:val="404040"/>
          <w:sz w:val="20"/>
          <w:szCs w:val="20"/>
        </w:rPr>
        <w:t xml:space="preserve">Offre de hedging proactive : identifier les entreprises exposées aux risques de change (imports/exports) et proposer des solutions de couverture avant qu'elles ne cherchent ailleurs</w:t>
      </w:r>
    </w:p>
    <w:p>
      <w:pPr>
        <w:pStyle w:val="ListParagraph"/>
        <w:numPr>
          <w:ilvl w:val="0"/>
          <w:numId w:val="2"/>
        </w:numPr>
        <w:spacing w:after="60" w:before="60"/>
      </w:pPr>
      <w:r>
        <w:rPr>
          <w:rFonts w:ascii="Arial" w:cs="Arial" w:eastAsia="Arial" w:hAnsi="Arial"/>
          <w:b w:val="false"/>
          <w:bCs w:val="false"/>
          <w:color w:val="404040"/>
          <w:sz w:val="20"/>
          <w:szCs w:val="20"/>
        </w:rPr>
        <w:t xml:space="preserve">Tarification différentielle de la vitesse de service : offrir des services premium (décision crédit en 24h) à tarif supérieur — ING l'a démontré avec succès</w:t>
      </w:r>
    </w:p>
    <w:p>
      <w:pPr>
        <w:pStyle w:val="ListParagraph"/>
        <w:numPr>
          <w:ilvl w:val="0"/>
          <w:numId w:val="2"/>
        </w:numPr>
        <w:spacing w:after="60" w:before="60"/>
      </w:pPr>
      <w:r>
        <w:rPr>
          <w:rFonts w:ascii="Arial" w:cs="Arial" w:eastAsia="Arial" w:hAnsi="Arial"/>
          <w:b w:val="false"/>
          <w:bCs w:val="false"/>
          <w:color w:val="404040"/>
          <w:sz w:val="20"/>
          <w:szCs w:val="20"/>
        </w:rPr>
        <w:t xml:space="preserve">Cross-sell analytique déclenché par événements : financement d'équipement après détection d'un achat d'actifs; ligne de crédit après détection d'une expansion géographique</w:t>
      </w:r>
    </w:p>
    <w:p>
      <w:pPr>
        <w:pStyle w:val="ListParagraph"/>
        <w:numPr>
          <w:ilvl w:val="0"/>
          <w:numId w:val="2"/>
        </w:numPr>
        <w:spacing w:after="60" w:before="60"/>
      </w:pPr>
      <w:r>
        <w:rPr>
          <w:rFonts w:ascii="Arial" w:cs="Arial" w:eastAsia="Arial" w:hAnsi="Arial"/>
          <w:b w:val="false"/>
          <w:bCs w:val="false"/>
          <w:color w:val="404040"/>
          <w:sz w:val="20"/>
          <w:szCs w:val="20"/>
        </w:rPr>
        <w:t xml:space="preserve">Optimisation du spread FX par profil client : modèle de spread optimal = f(volume, fréquence, WTP, alternatives) → +10–30 % revenu FX potentiel</w:t>
      </w:r>
    </w:p>
    <w:p>
      <w:pPr>
        <w:spacing w:before="15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11.3  Améliorer l'expérience membre — Différenciation coopérative</w:t>
      </w:r>
    </w:p>
    <w:p>
      <w:pPr>
        <w:pStyle w:val="ListParagraph"/>
        <w:numPr>
          <w:ilvl w:val="0"/>
          <w:numId w:val="2"/>
        </w:numPr>
        <w:spacing w:after="60" w:before="60"/>
      </w:pPr>
      <w:r>
        <w:rPr>
          <w:rFonts w:ascii="Arial" w:cs="Arial" w:eastAsia="Arial" w:hAnsi="Arial"/>
          <w:b/>
          <w:bCs/>
          <w:color w:val="404040"/>
          <w:sz w:val="20"/>
          <w:szCs w:val="20"/>
        </w:rPr>
        <w:t xml:space="preserve">Transparence tarifaire coopérative : offrir aux membres un tableau de bord de leur relation Desjardins (produits, taux, économies vs alternatives) — différenciation coopérative forte</w:t>
      </w:r>
    </w:p>
    <w:p>
      <w:pPr>
        <w:pStyle w:val="ListParagraph"/>
        <w:numPr>
          <w:ilvl w:val="0"/>
          <w:numId w:val="2"/>
        </w:numPr>
        <w:spacing w:after="60" w:before="60"/>
      </w:pPr>
      <w:r>
        <w:rPr>
          <w:rFonts w:ascii="Arial" w:cs="Arial" w:eastAsia="Arial" w:hAnsi="Arial"/>
          <w:b w:val="false"/>
          <w:bCs w:val="false"/>
          <w:color w:val="404040"/>
          <w:sz w:val="20"/>
          <w:szCs w:val="20"/>
        </w:rPr>
        <w:t xml:space="preserve">Pricing expliqué : accompagner chaque offre d'une explication claire de la décomposition du taux (risque, marché, relation). 'Des prix transparents et personnalisés renforcent la confiance.'</w:t>
      </w:r>
    </w:p>
    <w:p>
      <w:pPr>
        <w:pStyle w:val="ListParagraph"/>
        <w:numPr>
          <w:ilvl w:val="0"/>
          <w:numId w:val="2"/>
        </w:numPr>
        <w:spacing w:after="60" w:before="60"/>
      </w:pPr>
      <w:r>
        <w:rPr>
          <w:rFonts w:ascii="Arial" w:cs="Arial" w:eastAsia="Arial" w:hAnsi="Arial"/>
          <w:b w:val="false"/>
          <w:bCs w:val="false"/>
          <w:color w:val="404040"/>
          <w:sz w:val="20"/>
          <w:szCs w:val="20"/>
        </w:rPr>
        <w:t xml:space="preserve">Délai de décision garanti : SLA de décision de crédit (24h renouvellements, 5 jours nouvelles demandes) — ING a capturé 15 % de parts de marché PME avec cette promesse</w:t>
      </w:r>
    </w:p>
    <w:p>
      <w:pPr>
        <w:pStyle w:val="ListParagraph"/>
        <w:numPr>
          <w:ilvl w:val="0"/>
          <w:numId w:val="2"/>
        </w:numPr>
        <w:spacing w:after="60" w:before="60"/>
      </w:pPr>
      <w:r>
        <w:rPr>
          <w:rFonts w:ascii="Arial" w:cs="Arial" w:eastAsia="Arial" w:hAnsi="Arial"/>
          <w:b w:val="false"/>
          <w:bCs w:val="false"/>
          <w:color w:val="404040"/>
          <w:sz w:val="20"/>
          <w:szCs w:val="20"/>
        </w:rPr>
        <w:t xml:space="preserve">Programme de fidélité pricing visible : récompenser explicitement la profondeur de relation par des avantages tarifaires visibles et communiqués au membre</w:t>
      </w:r>
    </w:p>
    <w:p>
      <w:pPr>
        <w:spacing w:after="80" w:before="40"/>
        <w:ind w:left="200"/>
      </w:pPr>
      <w:r>
        <w:rPr>
          <w:rFonts w:ascii="Arial" w:cs="Arial" w:eastAsia="Arial" w:hAnsi="Arial"/>
          <w:i/>
          <w:iCs/>
          <w:color w:val="006B6B"/>
          <w:sz w:val="16"/>
          <w:szCs w:val="16"/>
        </w:rPr>
        <w:t xml:space="preserve">📚 Source : PCBB — Using Relationship Pricing to Boost Profitability and Loyalty (2026)</w:t>
      </w:r>
    </w:p>
    <w:p>
      <w:pPr>
        <w:spacing w:before="15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11.4  Augmenter le share of wallet</w:t>
      </w:r>
    </w:p>
    <w:p>
      <w:pPr>
        <w:pStyle w:val="ListParagraph"/>
        <w:numPr>
          <w:ilvl w:val="0"/>
          <w:numId w:val="2"/>
        </w:numPr>
        <w:spacing w:after="60" w:before="60"/>
      </w:pPr>
      <w:r>
        <w:rPr>
          <w:rFonts w:ascii="Arial" w:cs="Arial" w:eastAsia="Arial" w:hAnsi="Arial"/>
          <w:b/>
          <w:bCs/>
          <w:color w:val="404040"/>
          <w:sz w:val="20"/>
          <w:szCs w:val="20"/>
        </w:rPr>
        <w:t xml:space="preserve">Bundle tarifaire multi-produit : créer des offres 'tout-en-un' (crédit + dépôts + paie + FX) avec un taux global avantageux vs les produits individuels — 'clients multi-produits sont plus difficiles à perdre'</w:t>
      </w:r>
    </w:p>
    <w:p>
      <w:pPr>
        <w:pStyle w:val="ListParagraph"/>
        <w:numPr>
          <w:ilvl w:val="0"/>
          <w:numId w:val="2"/>
        </w:numPr>
        <w:spacing w:after="60" w:before="60"/>
      </w:pPr>
      <w:r>
        <w:rPr>
          <w:rFonts w:ascii="Arial" w:cs="Arial" w:eastAsia="Arial" w:hAnsi="Arial"/>
          <w:b w:val="false"/>
          <w:bCs w:val="false"/>
          <w:color w:val="404040"/>
          <w:sz w:val="20"/>
          <w:szCs w:val="20"/>
        </w:rPr>
        <w:t xml:space="preserve">Stratégie de portefeuille concentrée : identifier les 20 % de clients générant 80 % du potentiel non-capturé et déployer des ressources dédiées</w:t>
      </w:r>
    </w:p>
    <w:p>
      <w:pPr>
        <w:pStyle w:val="ListParagraph"/>
        <w:numPr>
          <w:ilvl w:val="0"/>
          <w:numId w:val="2"/>
        </w:numPr>
        <w:spacing w:after="60" w:before="60"/>
      </w:pPr>
      <w:r>
        <w:rPr>
          <w:rFonts w:ascii="Arial" w:cs="Arial" w:eastAsia="Arial" w:hAnsi="Arial"/>
          <w:b w:val="false"/>
          <w:bCs w:val="false"/>
          <w:color w:val="404040"/>
          <w:sz w:val="20"/>
          <w:szCs w:val="20"/>
        </w:rPr>
        <w:t xml:space="preserve">Score de potentiel futur (CLV) : intégrer dans le pricing la valeur vie estimée du client pour justifier des investissements tarifaires sur les clients en phase de croissance</w:t>
      </w:r>
    </w:p>
    <w:p>
      <w:pPr>
        <w:spacing w:after="80" w:before="40"/>
        <w:ind w:left="200"/>
      </w:pPr>
      <w:r>
        <w:rPr>
          <w:rFonts w:ascii="Arial" w:cs="Arial" w:eastAsia="Arial" w:hAnsi="Arial"/>
          <w:i/>
          <w:iCs/>
          <w:color w:val="006B6B"/>
          <w:sz w:val="16"/>
          <w:szCs w:val="16"/>
        </w:rPr>
        <w:t xml:space="preserve">📚 Source : PCBB — Customers with multiple products are harder to lose</w:t>
      </w:r>
    </w:p>
    <w:p>
      <w:pPr>
        <w:spacing w:before="15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11.5  Réduire les concessions tarifaires non justifiées</w:t>
      </w:r>
    </w:p>
    <w:p>
      <w:pPr>
        <w:pStyle w:val="ListParagraph"/>
        <w:numPr>
          <w:ilvl w:val="0"/>
          <w:numId w:val="2"/>
        </w:numPr>
        <w:spacing w:after="60" w:before="60"/>
      </w:pPr>
      <w:r>
        <w:rPr>
          <w:rFonts w:ascii="Arial" w:cs="Arial" w:eastAsia="Arial" w:hAnsi="Arial"/>
          <w:b/>
          <w:bCs/>
          <w:color w:val="404040"/>
          <w:sz w:val="20"/>
          <w:szCs w:val="20"/>
        </w:rPr>
        <w:t xml:space="preserve">Matrice d'autorisation granulaire : définir des seuils de concession par produit, par taille de client, et par niveau hiérarchique. Rendre visible ce qui était invisible.</w:t>
      </w:r>
    </w:p>
    <w:p>
      <w:pPr>
        <w:pStyle w:val="ListParagraph"/>
        <w:numPr>
          <w:ilvl w:val="0"/>
          <w:numId w:val="2"/>
        </w:numPr>
        <w:spacing w:after="60" w:before="60"/>
      </w:pPr>
      <w:r>
        <w:rPr>
          <w:rFonts w:ascii="Arial" w:cs="Arial" w:eastAsia="Arial" w:hAnsi="Arial"/>
          <w:b w:val="false"/>
          <w:bCs w:val="false"/>
          <w:color w:val="404040"/>
          <w:sz w:val="20"/>
          <w:szCs w:val="20"/>
        </w:rPr>
        <w:t xml:space="preserve">Audit trimestriel des concessions : rapport automatisé de toutes les concessions accordées vs la justification documentée, présenté au comité de direction</w:t>
      </w:r>
    </w:p>
    <w:p>
      <w:pPr>
        <w:pStyle w:val="ListParagraph"/>
        <w:numPr>
          <w:ilvl w:val="0"/>
          <w:numId w:val="2"/>
        </w:numPr>
        <w:spacing w:after="60" w:before="60"/>
      </w:pPr>
      <w:r>
        <w:rPr>
          <w:rFonts w:ascii="Arial" w:cs="Arial" w:eastAsia="Arial" w:hAnsi="Arial"/>
          <w:b w:val="false"/>
          <w:bCs w:val="false"/>
          <w:color w:val="404040"/>
          <w:sz w:val="20"/>
          <w:szCs w:val="20"/>
        </w:rPr>
        <w:t xml:space="preserve">Incentive design des DCs : revoir les métriques de performance pour inclure le RAROC moyen signé (pas seulement le volume d'affaires nouvelles). 'Sans incentive alignée, les commerciaux peuvent saboter l'exactitude du pricing.'</w:t>
      </w:r>
    </w:p>
    <w:p>
      <w:pPr>
        <w:pStyle w:val="ListParagraph"/>
        <w:numPr>
          <w:ilvl w:val="0"/>
          <w:numId w:val="2"/>
        </w:numPr>
        <w:spacing w:after="60" w:before="60"/>
      </w:pPr>
      <w:r>
        <w:rPr>
          <w:rFonts w:ascii="Arial" w:cs="Arial" w:eastAsia="Arial" w:hAnsi="Arial"/>
          <w:b w:val="false"/>
          <w:bCs w:val="false"/>
          <w:color w:val="404040"/>
          <w:sz w:val="20"/>
          <w:szCs w:val="20"/>
        </w:rPr>
        <w:t xml:space="preserve">Historique structuré des offres refusées : capturer systématiquement les offres rejetées (taux proposé, motif, décision concurrent) — donnée analytique cruciale actuellement perdue</w:t>
      </w:r>
    </w:p>
    <w:p>
      <w:pPr>
        <w:spacing w:after="80" w:before="40"/>
        <w:ind w:left="200"/>
      </w:pPr>
      <w:r>
        <w:rPr>
          <w:rFonts w:ascii="Arial" w:cs="Arial" w:eastAsia="Arial" w:hAnsi="Arial"/>
          <w:i/>
          <w:iCs/>
          <w:color w:val="006B6B"/>
          <w:sz w:val="16"/>
          <w:szCs w:val="16"/>
        </w:rPr>
        <w:t xml:space="preserve">📚 Source : McKinsey — Price to Win; Document de référence principes généraux</w:t>
      </w:r>
    </w:p>
    <w:p>
      <w:pPr>
        <w:spacing w:after="0" w:before="0"/>
      </w:pPr>
      <w:r>
        <w:br w:type="page"/>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33" w:sz="0"/>
              <w:left w:val="single" w:color="004D33" w:sz="0"/>
              <w:bottom w:val="single" w:color="004D33" w:sz="0"/>
              <w:right w:val="single" w:color="004D33" w:sz="0"/>
            </w:tcBorders>
            <w:shd w:fill="004D33" w:val="clear"/>
            <w:tcMar>
              <w:top w:type="dxa" w:w="200"/>
              <w:left w:type="dxa" w:w="300"/>
              <w:bottom w:type="dxa" w:w="200"/>
              <w:right w:type="dxa" w:w="300"/>
            </w:tcMar>
          </w:tcPr>
          <w:p>
            <w:pPr>
              <w:spacing w:after="0" w:before="0"/>
              <w:jc w:val="center"/>
            </w:pPr>
            <w:r>
              <w:rPr>
                <w:rFonts w:ascii="Arial" w:cs="Arial" w:eastAsia="Arial" w:hAnsi="Arial"/>
                <w:b/>
                <w:bCs/>
                <w:color w:val="C2E0CF"/>
                <w:sz w:val="52"/>
                <w:szCs w:val="52"/>
              </w:rPr>
              <w:t xml:space="preserve">12</w:t>
            </w:r>
          </w:p>
          <w:p>
            <w:pPr>
              <w:spacing w:after="0" w:before="80"/>
              <w:jc w:val="center"/>
            </w:pPr>
            <w:r>
              <w:rPr>
                <w:rFonts w:ascii="Arial" w:cs="Arial" w:eastAsia="Arial" w:hAnsi="Arial"/>
                <w:b/>
                <w:bCs/>
                <w:color w:val="FFFFFF"/>
                <w:sz w:val="34"/>
                <w:szCs w:val="34"/>
              </w:rPr>
              <w:t xml:space="preserve">CONTRAINTES RÉGLEMENTAIRES &amp; LIMITES ÉTHIQUES</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12.1  Cadre réglementaire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2960"/>
      </w:tblGrid>
      <w:tr>
        <w:trPr>
          <w:tblHeader/>
        </w:trPr>
        <w:tc>
          <w:tcPr>
            <w:tcW w:type="dxa" w:w="1900"/>
            <w:tcBorders>
              <w:top w:val="single" w:color="004D33" w:sz="6"/>
              <w:left w:val="single" w:color="004D33" w:sz="6"/>
              <w:bottom w:val="single" w:color="004D33" w:sz="6"/>
              <w:right w:val="single" w:color="004D33" w:sz="6"/>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Cadre réglementaire</w:t>
            </w:r>
          </w:p>
        </w:tc>
        <w:tc>
          <w:tcPr>
            <w:tcW w:type="dxa" w:w="1900"/>
            <w:tcBorders>
              <w:top w:val="single" w:color="004D33" w:sz="6"/>
              <w:left w:val="single" w:color="004D33" w:sz="6"/>
              <w:bottom w:val="single" w:color="004D33" w:sz="6"/>
              <w:right w:val="single" w:color="004D33" w:sz="6"/>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Portée</w:t>
            </w:r>
          </w:p>
        </w:tc>
        <w:tc>
          <w:tcPr>
            <w:tcW w:type="dxa" w:w="2600"/>
            <w:tcBorders>
              <w:top w:val="single" w:color="004D33" w:sz="6"/>
              <w:left w:val="single" w:color="004D33" w:sz="6"/>
              <w:bottom w:val="single" w:color="004D33" w:sz="6"/>
              <w:right w:val="single" w:color="004D33" w:sz="6"/>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Impact sur le pricing analytique</w:t>
            </w:r>
          </w:p>
        </w:tc>
        <w:tc>
          <w:tcPr>
            <w:tcW w:type="dxa" w:w="2960"/>
            <w:tcBorders>
              <w:top w:val="single" w:color="004D33" w:sz="6"/>
              <w:left w:val="single" w:color="004D33" w:sz="6"/>
              <w:bottom w:val="single" w:color="004D33" w:sz="6"/>
              <w:right w:val="single" w:color="004D33" w:sz="6"/>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Mesures de mitigation</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Loi 25 (Québec)
Vie privée</w:t>
            </w:r>
          </w:p>
        </w:tc>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Consentement explicite pour utilisation données personnelles à des fins de profilage commercial. Droit à l'information, rectification, oubli.</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Limite l'utilisation des données AccèsD Affaires pour le profilage concurrentiel. Toute utilisation pour tarification personnalisée doit être justifiée et consentie.</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PIA obligatoire. Anonymisation/pseudonymisation. Revue conformité avant tout déploiement.</w:t>
            </w:r>
          </w:p>
        </w:tc>
      </w:tr>
      <w:tr>
        <w:tc>
          <w:tcPr>
            <w:tcW w:type="dxa" w:w="1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LPCR / BSIF
(Bâle III/IV)</w:t>
            </w:r>
          </w:p>
        </w:tc>
        <w:tc>
          <w:tcPr>
            <w:tcW w:type="dxa" w:w="1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Exigences de capital RWA. Contraintes LCR/NSFR. Validation modèles internes IRB.</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Les modèles de RAROC doivent être cohérents avec les modèles réglementaires validés. Capital réglementaire = plancher absolu.</w:t>
            </w:r>
          </w:p>
        </w:tc>
        <w:tc>
          <w:tcPr>
            <w:tcW w:type="dxa" w:w="2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Alignement modèles pricing avec IRB validés par BSIF. Documentation complète. Pas de pricing qui viole les ratios de capital.</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Loi sur la concurrence
(Canada)</w:t>
            </w:r>
          </w:p>
        </w:tc>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Interdiction pratiques anticoncurrentielles, prix prédateurs, discrimination tarifaire injustifiée.</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La tarification basée sur des signaux concurrentiels doit éviter tout accord de prix ou signal coordination.</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Ne jamais utiliser données partagées avec concurrents. Pricing basé sur le risque individuel — pas sur la nationalité ou critères protégés.</w:t>
            </w:r>
          </w:p>
        </w:tc>
      </w:tr>
      <w:tr>
        <w:tc>
          <w:tcPr>
            <w:tcW w:type="dxa" w:w="1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Loi canadienne sur les
droits de la personne</w:t>
            </w:r>
          </w:p>
        </w:tc>
        <w:tc>
          <w:tcPr>
            <w:tcW w:type="dxa" w:w="1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Interdiction de discrimination basée sur l'origine ethnique, le sexe, la religion, etc.</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Un modèle utilisant des proxies corrélés à des groupes protégés (code postal, type de nom) peut créer une discrimination indirecte.</w:t>
            </w:r>
          </w:p>
        </w:tc>
        <w:tc>
          <w:tcPr>
            <w:tcW w:type="dxa" w:w="2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Audit de biais (fairness testing, disparate impact) obligatoire sur tous les modèles de pricing. Explainable AI (SHAP, LIME) requis.</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RPVP / Loi C-27
(Fédéral)</w:t>
            </w:r>
          </w:p>
        </w:tc>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Nouvelles obligations de transparence algorithmique. Droit à l'explication des décisions automatisées significatives.</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Toute décision d'offre tarifaire basée sur un modèle ML peut être soumise au droit à l'explication.</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Implanter SHAP sur tous les modèles de décision. Documenter le 'droit à l'explication'. Former les DCs à expliquer les recommandations.</w:t>
            </w:r>
          </w:p>
        </w:tc>
      </w:tr>
      <w:tr>
        <w:tc>
          <w:tcPr>
            <w:tcW w:type="dxa" w:w="1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Directives AMF
(Québec)</w:t>
            </w:r>
          </w:p>
        </w:tc>
        <w:tc>
          <w:tcPr>
            <w:tcW w:type="dxa" w:w="1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Encadrement pratiques de vente et de conseil. Principe du 'meilleur intérêt du client'.</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Le pricing personnalisé ne peut pas être conçu pour maximiser la marge au détriment de l'intérêt du membre.</w:t>
            </w:r>
          </w:p>
        </w:tc>
        <w:tc>
          <w:tcPr>
            <w:tcW w:type="dxa" w:w="2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Aligner les pratiques de pricing sur les principes coopératifs Desjardins. Documenter que le pricing reflète la valeur réelle.</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Autorités de régulation
(ACPR, OSFI, AMF)</w:t>
            </w:r>
          </w:p>
        </w:tc>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Modèles de pricing doivent être documentés et audités. Obligations de conseil auprès des grands clients.</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L'orientation vers l'optimisation algorithmique n'exonère pas la banque de sa responsabilité vis-à-vis du client.</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Charte IA, comités d'éthique. Principes d'explainabilité et d'auditabilité incorporés dès la conception.</w:t>
            </w:r>
          </w:p>
        </w:tc>
      </w:tr>
    </w:tbl>
    <w:p>
      <w:pPr>
        <w:spacing w:after="80" w:before="40"/>
        <w:ind w:left="200"/>
      </w:pPr>
      <w:r>
        <w:rPr>
          <w:rFonts w:ascii="Arial" w:cs="Arial" w:eastAsia="Arial" w:hAnsi="Arial"/>
          <w:i/>
          <w:iCs/>
          <w:color w:val="006B6B"/>
          <w:sz w:val="16"/>
          <w:szCs w:val="16"/>
        </w:rPr>
        <w:t xml:space="preserve">📚 Source : Document de référence — Tarification bancaire aux entreprises : contraintes réglementaires et limites éthiques</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12.2  Limites éthiques du pricing analytique</w:t>
      </w:r>
    </w:p>
    <w:p>
      <w:pPr>
        <w:spacing w:after="80" w:before="80"/>
      </w:pPr>
      <w:r>
        <w:rPr>
          <w:rFonts w:ascii="Arial" w:cs="Arial" w:eastAsia="Arial" w:hAnsi="Arial"/>
          <w:color w:val="404040"/>
          <w:sz w:val="20"/>
          <w:szCs w:val="20"/>
        </w:rPr>
        <w:t xml:space="preserve">Il ne faut pas confondre personnalisation avec exploitation des failles. Par exemple, utiliser l'historique d'achats d'une entreprise pour lui imposer un tarif exagéré violerait l'esprit de transparence. Le recours à l'IA doit rester 'au service' de la banque ET du client, avec un encadrement éthique rigoureux.</w:t>
      </w:r>
    </w:p>
    <w:p>
      <w:pPr>
        <w:pStyle w:val="ListParagraph"/>
        <w:numPr>
          <w:ilvl w:val="0"/>
          <w:numId w:val="2"/>
        </w:numPr>
        <w:spacing w:after="60" w:before="60"/>
      </w:pPr>
      <w:r>
        <w:rPr>
          <w:rFonts w:ascii="Arial" w:cs="Arial" w:eastAsia="Arial" w:hAnsi="Arial"/>
          <w:b w:val="false"/>
          <w:bCs w:val="false"/>
          <w:color w:val="404040"/>
          <w:sz w:val="20"/>
          <w:szCs w:val="20"/>
        </w:rPr>
        <w:t xml:space="preserve">Principe de proportionnalité : la personnalisation doit refléter la valeur réelle du service, pas l'exploitation de l'information asymétrique</w:t>
      </w:r>
    </w:p>
    <w:p>
      <w:pPr>
        <w:pStyle w:val="ListParagraph"/>
        <w:numPr>
          <w:ilvl w:val="0"/>
          <w:numId w:val="2"/>
        </w:numPr>
        <w:spacing w:after="60" w:before="60"/>
      </w:pPr>
      <w:r>
        <w:rPr>
          <w:rFonts w:ascii="Arial" w:cs="Arial" w:eastAsia="Arial" w:hAnsi="Arial"/>
          <w:b w:val="false"/>
          <w:bCs w:val="false"/>
          <w:color w:val="404040"/>
          <w:sz w:val="20"/>
          <w:szCs w:val="20"/>
        </w:rPr>
        <w:t xml:space="preserve">Transparence active : tout client a le droit de comprendre les déterminants de son taux à un niveau raisonnable</w:t>
      </w:r>
    </w:p>
    <w:p>
      <w:pPr>
        <w:pStyle w:val="ListParagraph"/>
        <w:numPr>
          <w:ilvl w:val="0"/>
          <w:numId w:val="2"/>
        </w:numPr>
        <w:spacing w:after="60" w:before="60"/>
      </w:pPr>
      <w:r>
        <w:rPr>
          <w:rFonts w:ascii="Arial" w:cs="Arial" w:eastAsia="Arial" w:hAnsi="Arial"/>
          <w:b w:val="false"/>
          <w:bCs w:val="false"/>
          <w:color w:val="404040"/>
          <w:sz w:val="20"/>
          <w:szCs w:val="20"/>
        </w:rPr>
        <w:t xml:space="preserve">Non-exploitation des vulnérabilités : un client en difficulté financière ne doit pas se voir imposer des tarifs punitifs</w:t>
      </w:r>
    </w:p>
    <w:p>
      <w:pPr>
        <w:pStyle w:val="ListParagraph"/>
        <w:numPr>
          <w:ilvl w:val="0"/>
          <w:numId w:val="2"/>
        </w:numPr>
        <w:spacing w:after="60" w:before="60"/>
      </w:pPr>
      <w:r>
        <w:rPr>
          <w:rFonts w:ascii="Arial" w:cs="Arial" w:eastAsia="Arial" w:hAnsi="Arial"/>
          <w:b w:val="false"/>
          <w:bCs w:val="false"/>
          <w:color w:val="404040"/>
          <w:sz w:val="20"/>
          <w:szCs w:val="20"/>
        </w:rPr>
        <w:t xml:space="preserve">Charte IA interne : documenter les principes éthiques régissant tous les modèles de pricing — revue annuelle par le comité d'éthique</w:t>
      </w:r>
    </w:p>
    <w:p>
      <w:pPr>
        <w:pStyle w:val="ListParagraph"/>
        <w:numPr>
          <w:ilvl w:val="0"/>
          <w:numId w:val="2"/>
        </w:numPr>
        <w:spacing w:after="60" w:before="60"/>
      </w:pPr>
      <w:r>
        <w:rPr>
          <w:rFonts w:ascii="Arial" w:cs="Arial" w:eastAsia="Arial" w:hAnsi="Arial"/>
          <w:b w:val="false"/>
          <w:bCs w:val="false"/>
          <w:color w:val="404040"/>
          <w:sz w:val="20"/>
          <w:szCs w:val="20"/>
        </w:rPr>
        <w:t xml:space="preserve">Auditabilité : tous les modèles de pricing doivent être auditables, avec traçabilité complète des décisions</w:t>
      </w:r>
    </w:p>
    <w:p>
      <w:pPr>
        <w:spacing w:after="0" w:before="0"/>
      </w:pPr>
      <w:r>
        <w:br w:type="page"/>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33" w:sz="0"/>
              <w:left w:val="single" w:color="004D33" w:sz="0"/>
              <w:bottom w:val="single" w:color="004D33" w:sz="0"/>
              <w:right w:val="single" w:color="004D33" w:sz="0"/>
            </w:tcBorders>
            <w:shd w:fill="004D33" w:val="clear"/>
            <w:tcMar>
              <w:top w:type="dxa" w:w="200"/>
              <w:left w:type="dxa" w:w="300"/>
              <w:bottom w:type="dxa" w:w="200"/>
              <w:right w:type="dxa" w:w="300"/>
            </w:tcMar>
          </w:tcPr>
          <w:p>
            <w:pPr>
              <w:spacing w:after="0" w:before="0"/>
              <w:jc w:val="center"/>
            </w:pPr>
            <w:r>
              <w:rPr>
                <w:rFonts w:ascii="Arial" w:cs="Arial" w:eastAsia="Arial" w:hAnsi="Arial"/>
                <w:b/>
                <w:bCs/>
                <w:color w:val="C2E0CF"/>
                <w:sz w:val="52"/>
                <w:szCs w:val="52"/>
              </w:rPr>
              <w:t xml:space="preserve">13</w:t>
            </w:r>
          </w:p>
          <w:p>
            <w:pPr>
              <w:spacing w:after="0" w:before="80"/>
              <w:jc w:val="center"/>
            </w:pPr>
            <w:r>
              <w:rPr>
                <w:rFonts w:ascii="Arial" w:cs="Arial" w:eastAsia="Arial" w:hAnsi="Arial"/>
                <w:b/>
                <w:bCs/>
                <w:color w:val="FFFFFF"/>
                <w:sz w:val="34"/>
                <w:szCs w:val="34"/>
              </w:rPr>
              <w:t xml:space="preserve">FREINS ORGANISATIONNELS &amp; PIÈGES DES MODÈLES</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13.1  Freins internes à la transformation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004D33" w:sz="6"/>
              <w:left w:val="single" w:color="004D33" w:sz="6"/>
              <w:bottom w:val="single" w:color="004D33" w:sz="6"/>
              <w:right w:val="single" w:color="004D33" w:sz="6"/>
            </w:tcBorders>
            <w:shd w:fill="C55A11"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Frein</w:t>
            </w:r>
          </w:p>
        </w:tc>
        <w:tc>
          <w:tcPr>
            <w:tcW w:type="dxa" w:w="2200"/>
            <w:tcBorders>
              <w:top w:val="single" w:color="004D33" w:sz="6"/>
              <w:left w:val="single" w:color="004D33" w:sz="6"/>
              <w:bottom w:val="single" w:color="004D33" w:sz="6"/>
              <w:right w:val="single" w:color="004D33" w:sz="6"/>
            </w:tcBorders>
            <w:shd w:fill="C55A11"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2200"/>
            <w:tcBorders>
              <w:top w:val="single" w:color="004D33" w:sz="6"/>
              <w:left w:val="single" w:color="004D33" w:sz="6"/>
              <w:bottom w:val="single" w:color="004D33" w:sz="6"/>
              <w:right w:val="single" w:color="004D33" w:sz="6"/>
            </w:tcBorders>
            <w:shd w:fill="C55A11"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Exemple concret</w:t>
            </w:r>
          </w:p>
        </w:tc>
        <w:tc>
          <w:tcPr>
            <w:tcW w:type="dxa" w:w="3160"/>
            <w:tcBorders>
              <w:top w:val="single" w:color="004D33" w:sz="6"/>
              <w:left w:val="single" w:color="004D33" w:sz="6"/>
              <w:bottom w:val="single" w:color="004D33" w:sz="6"/>
              <w:right w:val="single" w:color="004D33" w:sz="6"/>
            </w:tcBorders>
            <w:shd w:fill="C55A11"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Solution recommandée</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Silos organisationnels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La tarification personnalisée exige de croiser données commerciales, risque et finance — souvent en silos historiques. Les banques traditionnelles peinent à tirer parti du pricing faute de vision commune.</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Un DC ne voit pas la profitabilité globale du client gérée par Finance. Les modèles de risque ne parlent pas au CRM.</w:t>
            </w:r>
          </w:p>
        </w:tc>
        <w:tc>
          <w:tcPr>
            <w:tcW w:type="dxa" w:w="3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Comité tarifaire transversal (Finance + Risque + Commercial + Conformité) + sponsor exécutif. Architecture données unifiée.</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Résistance au changement</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Les DCs peuvent percevoir les outils de pricing analytique comme une contrainte à leur autonomie de négociation.</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Un DC refuse d'utiliser le Pricing Advisor car 'je connais mon client mieux que l'algorithme'.</w:t>
            </w:r>
          </w:p>
        </w:tc>
        <w:tc>
          <w:tcPr>
            <w:tcW w:type="dxa" w:w="3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Co-développement des outils avec les utilisateurs terrain. SHAP pour rendre les recommandations compréhensibles. L'outil conseille, le DC décide.</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Qualité insuffisante des données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Un modèle de pricing performant nécessite des données complètes (KPI RFM, bureau crédit, historique de négociation). McKinsey note que beaucoup d'institutions n'ont pas intégré leurs systèmes legacy.</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Historique de taux incomplet, pas de capture des offres refusées, CRM mal rempli.</w:t>
            </w:r>
          </w:p>
        </w:tc>
        <w:tc>
          <w:tcPr>
            <w:tcW w:type="dxa" w:w="3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Investir d'abord dans la qualité des données avant de déployer des modèles. Instrumenter le CRM pour capturer les offres rejetées.</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Pertes de marge non détectées</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En l'absence d'outil de suivi des 'leakages', des mauvaises affaires passent inaperçues. McKinsey : 5–10 % des comptes détruisent de la valeur sans que personne ne le sache.</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Un compte signé à -50 pb vs RAROC cible il y a 5 ans n'a jamais été révisé.</w:t>
            </w:r>
          </w:p>
        </w:tc>
        <w:tc>
          <w:tcPr>
            <w:tcW w:type="dxa" w:w="3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Tableau de bord mensuel des anomalies de pricing. Alertes automatiques sur les comptes sous le plancher RAROC.</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Conflit d'objectifs des DCs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Sans incentive alignée (bonus RM basés sur marge), les commerciaux peuvent pratiquer des rabais non autorisés pour atteindre leurs objectifs de volume.</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Un DC accorde 40 pb de concession pour signer un dossier avant la fin du trimestre.</w:t>
            </w:r>
          </w:p>
        </w:tc>
        <w:tc>
          <w:tcPr>
            <w:tcW w:type="dxa" w:w="3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Revoir les métriques de performance : inclure RAROC moyen signé + taux de concession + volume. Pas uniquement le volume.</w:t>
            </w:r>
          </w:p>
        </w:tc>
      </w:tr>
    </w:tbl>
    <w:p>
      <w:pPr>
        <w:spacing w:after="80" w:before="40"/>
        <w:ind w:left="200"/>
      </w:pPr>
      <w:r>
        <w:rPr>
          <w:rFonts w:ascii="Arial" w:cs="Arial" w:eastAsia="Arial" w:hAnsi="Arial"/>
          <w:i/>
          <w:iCs/>
          <w:color w:val="006B6B"/>
          <w:sz w:val="16"/>
          <w:szCs w:val="16"/>
        </w:rPr>
        <w:t xml:space="preserve">📚 Source : McKinsey — Price to Win; Revue Banque — Le pricing dans la banque, un modèle à revoir</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13.2  Les 8 pièges les plus fréquents des modèles de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004D33" w:sz="6"/>
              <w:left w:val="single" w:color="004D33" w:sz="6"/>
              <w:bottom w:val="single" w:color="004D33" w:sz="6"/>
              <w:right w:val="single" w:color="004D33" w:sz="6"/>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Piège</w:t>
            </w:r>
          </w:p>
        </w:tc>
        <w:tc>
          <w:tcPr>
            <w:tcW w:type="dxa" w:w="2400"/>
            <w:tcBorders>
              <w:top w:val="single" w:color="004D33" w:sz="6"/>
              <w:left w:val="single" w:color="004D33" w:sz="6"/>
              <w:bottom w:val="single" w:color="004D33" w:sz="6"/>
              <w:right w:val="single" w:color="004D33" w:sz="6"/>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2400"/>
            <w:tcBorders>
              <w:top w:val="single" w:color="004D33" w:sz="6"/>
              <w:left w:val="single" w:color="004D33" w:sz="6"/>
              <w:bottom w:val="single" w:color="004D33" w:sz="6"/>
              <w:right w:val="single" w:color="004D33" w:sz="6"/>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Conséquence</w:t>
            </w:r>
          </w:p>
        </w:tc>
        <w:tc>
          <w:tcPr>
            <w:tcW w:type="dxa" w:w="2760"/>
            <w:tcBorders>
              <w:top w:val="single" w:color="004D33" w:sz="6"/>
              <w:left w:val="single" w:color="004D33" w:sz="6"/>
              <w:bottom w:val="single" w:color="004D33" w:sz="6"/>
              <w:right w:val="single" w:color="004D33" w:sz="6"/>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Solution</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Surapprentissage (overfitting)</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trop ajusté aux données historiques — capte le bruit plutôt que le signal</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Recommandations erronées en production, fausse confiance</w:t>
            </w:r>
          </w:p>
        </w:tc>
        <w:tc>
          <w:tcPr>
            <w:tcW w:type="dxa" w:w="2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Validation hors-échantillon, régularisation, backtesting sur données récentes</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Fuite d'information (data leakage)</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Variable cible utilisée comme feature ou données futures dans l'entraînement</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Performance artificielle, modèle inutilisable en temps réel</w:t>
            </w:r>
          </w:p>
        </w:tc>
        <w:tc>
          <w:tcPr>
            <w:tcW w:type="dxa" w:w="2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Validation croisée temporelle obligatoire — jamais de split aléatoire sur données temporelles</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Biais de confirmation</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construit pour confirmer les intuitions existantes des DCs</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Reproduit les biais humains à grande échelle, amplifie les erreurs passées</w:t>
            </w:r>
          </w:p>
        </w:tc>
        <w:tc>
          <w:tcPr>
            <w:tcW w:type="dxa" w:w="2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Audit indépendant, tests de falsifiabilité, inclure des data scientists sans biais métier</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Discrimination algorithmique</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Variables corrélées à des groupes protégés (code postal, type de nom) créent une discrimination indirecte</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Risque légal, réputationnel, rejet régulateur</w:t>
            </w:r>
          </w:p>
        </w:tc>
        <w:tc>
          <w:tcPr>
            <w:tcW w:type="dxa" w:w="2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Fairness testing systématique (disparate impact analysis) sur tous les modèles</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Stationnarité des modèles</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entraîné dans un régime de taux bas (2015–2021) inutilisable dans un régime de taux élevés (2022–2025)</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Décisions basées sur des patterns périmés</w:t>
            </w:r>
          </w:p>
        </w:tc>
        <w:tc>
          <w:tcPr>
            <w:tcW w:type="dxa" w:w="2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Réentraînement régulier. Monitoring PSI (Population Stability Index). Alertes de drift.</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Confusion causalité/corrélation</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Modèle confond correlation et causalité → la hausse du taux 'cause' l'attrition dans les données alors qu'une variable confondante explique les deux</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Mauvaises décisions de pricing : hausse de taux là où ce n'est pas la cause du churn</w:t>
            </w:r>
          </w:p>
        </w:tc>
        <w:tc>
          <w:tcPr>
            <w:tcW w:type="dxa" w:w="2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Causal inference (DiD, RDD), expérimentation contrôlée, revue par des experts en économétrie</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Surconfiance dans le modèle</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Les DCs suivent aveuglément les recommandations sans jugement critique — perte de nuance sur les cas atypiques</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Erreurs sur les clients complexes, perte de la relation humaine différenciatrice</w:t>
            </w:r>
          </w:p>
        </w:tc>
        <w:tc>
          <w:tcPr>
            <w:tcW w:type="dxa" w:w="2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 conseil, DC = décideur. Former à l'interprétation des outputs. Audit des cas de dérogation.</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Sous-estimation du change management</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Excellent modèle technique mais zéro adoption par les équipes terrain</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ROI nul malgré l'investissement. Déception organisationnelle qui compromet les futurs projets.</w:t>
            </w:r>
          </w:p>
        </w:tc>
        <w:tc>
          <w:tcPr>
            <w:tcW w:type="dxa" w:w="2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Co-développement avec les utilisateurs, formation, incentives alignés, pilote progressif avec champions.</w:t>
            </w:r>
          </w:p>
        </w:tc>
      </w:tr>
    </w:tbl>
    <w:p>
      <w:pPr>
        <w:spacing w:after="0" w:before="0"/>
      </w:pPr>
      <w:r>
        <w:br w:type="page"/>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33" w:sz="0"/>
              <w:left w:val="single" w:color="004D33" w:sz="0"/>
              <w:bottom w:val="single" w:color="004D33" w:sz="0"/>
              <w:right w:val="single" w:color="004D33" w:sz="0"/>
            </w:tcBorders>
            <w:shd w:fill="004D33" w:val="clear"/>
            <w:tcMar>
              <w:top w:type="dxa" w:w="200"/>
              <w:left w:type="dxa" w:w="300"/>
              <w:bottom w:type="dxa" w:w="200"/>
              <w:right w:type="dxa" w:w="300"/>
            </w:tcMar>
          </w:tcPr>
          <w:p>
            <w:pPr>
              <w:spacing w:after="0" w:before="0"/>
              <w:jc w:val="center"/>
            </w:pPr>
            <w:r>
              <w:rPr>
                <w:rFonts w:ascii="Arial" w:cs="Arial" w:eastAsia="Arial" w:hAnsi="Arial"/>
                <w:b/>
                <w:bCs/>
                <w:color w:val="C2E0CF"/>
                <w:sz w:val="52"/>
                <w:szCs w:val="52"/>
              </w:rPr>
              <w:t xml:space="preserve">14</w:t>
            </w:r>
          </w:p>
          <w:p>
            <w:pPr>
              <w:spacing w:after="0" w:before="80"/>
              <w:jc w:val="center"/>
            </w:pPr>
            <w:r>
              <w:rPr>
                <w:rFonts w:ascii="Arial" w:cs="Arial" w:eastAsia="Arial" w:hAnsi="Arial"/>
                <w:b/>
                <w:bCs/>
                <w:color w:val="FFFFFF"/>
                <w:sz w:val="34"/>
                <w:szCs w:val="34"/>
              </w:rPr>
              <w:t xml:space="preserve">ARCHITECTURE CIBLE &amp; MATRICE DE PRIORISATION FINALE</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14.1  Architecture cible — Pricing Intelligence Platform</w:t>
      </w:r>
    </w:p>
    <w:p>
      <w:pPr>
        <w:spacing w:after="80" w:before="80"/>
      </w:pPr>
      <w:r>
        <w:rPr>
          <w:rFonts w:ascii="Arial" w:cs="Arial" w:eastAsia="Arial" w:hAnsi="Arial"/>
          <w:color w:val="404040"/>
          <w:sz w:val="20"/>
          <w:szCs w:val="20"/>
        </w:rPr>
        <w:t xml:space="preserve">L'architecture cible repose sur un Data Lake moderne ou un Data Mesh, un moteur de scoring et d'optimisation en temps réel, ainsi qu'une interface intuitive pour diffuser les recommandations tarifaires aux DCs. McKinsey recommande les plateformes de données transversales sur cloud, favorisant l'open source et l'automatisation. Les bonnes pratiques incluent des environnements dédiés pour les data scientists et l'automatisation des pipelines.</w:t>
      </w:r>
    </w:p>
    <w:p>
      <w:pPr>
        <w:spacing w:after="80" w:before="40"/>
        <w:ind w:left="200"/>
      </w:pPr>
      <w:r>
        <w:rPr>
          <w:rFonts w:ascii="Arial" w:cs="Arial" w:eastAsia="Arial" w:hAnsi="Arial"/>
          <w:i/>
          <w:iCs/>
          <w:color w:val="006B6B"/>
          <w:sz w:val="16"/>
          <w:szCs w:val="16"/>
        </w:rPr>
        <w:t xml:space="preserve">📚 Source : McKinsey — Getting the data architecture right in banking (next-gen-banking-success-starts-with-the-right-data-architecture)</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600"/>
        <w:gridCol w:w="1760"/>
      </w:tblGrid>
      <w:tr>
        <w:trPr>
          <w:tblHeader/>
        </w:trPr>
        <w:tc>
          <w:tcPr>
            <w:tcW w:type="dxa" w:w="18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Couche architecture</w:t>
            </w:r>
          </w:p>
        </w:tc>
        <w:tc>
          <w:tcPr>
            <w:tcW w:type="dxa" w:w="32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Composantes</w:t>
            </w:r>
          </w:p>
        </w:tc>
        <w:tc>
          <w:tcPr>
            <w:tcW w:type="dxa" w:w="26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Technologies recommandées</w:t>
            </w:r>
          </w:p>
        </w:tc>
        <w:tc>
          <w:tcPr>
            <w:tcW w:type="dxa" w:w="176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Priorité</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① Ingestion &amp; Intégration
(Data Foundation)</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Lac de données / Data Lakehouse unifié
• Sources internes (core-banking, CRM, risque, ALM, AccèsD)
• Sources externes (bureaux crédit, registres publics, intel marché)
• Streaming temps réel pour événements critiques</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Databricks / Snowflake / Azure Synapse
Kafka (streaming), Apache Spark
APIs RESTful sécurisées
Delta Lake pour versioning</w:t>
            </w:r>
          </w:p>
        </w:tc>
        <w:tc>
          <w:tcPr>
            <w:tcW w:type="dxa" w:w="1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P0 — Pré-requis absolu de toutes les initiatives</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② Feature Store
(Base analytique)</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Variables enrichies par client (risque, valeur, comportement)
• Mise à jour automatisée (mensuelle / temps réel)
• Versioning des features pour reproductibilité des modèles</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Feast / Tecton / Databricks Feature Store
MLflow pour tracking des expériences
Delta Lake pour gouvernance</w:t>
            </w:r>
          </w:p>
        </w:tc>
        <w:tc>
          <w:tcPr>
            <w:tcW w:type="dxa" w:w="1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P1 — Phase 2</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③ Modélisation &amp; Scoring
(ML Engine)</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Modèles PD/LGD, élasticité WTP, churn, NBO concurrent
• Pipeline MLOps automatisé
• Validation et monitoring continu (PSI, drift)
• Registre des modèles avec audit trail</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Scikit-learn, XGBoost, LightGBM
MLflow / Kubeflow
Evidently AI (monitoring)
MLflow Model Registry</w:t>
            </w:r>
          </w:p>
        </w:tc>
        <w:tc>
          <w:tcPr>
            <w:tcW w:type="dxa" w:w="1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P1 — Phase 2–3</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④ Moteur de Pricing
(Optimization Engine)</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Calcul RAROC temps réel par client
• Optimisateur de taux (contraintes RAROC, marché, capital)
• Simulateur de scénarios what-if
• Moteur de règles métier (pricing policy engine)</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Python (scipy, cvxpy pour optimisation)
API FastAPI / gRPC
Base de règles (Drools ou custom)
Monte Carlo engine</w:t>
            </w:r>
          </w:p>
        </w:tc>
        <w:tc>
          <w:tcPr>
            <w:tcW w:type="dxa" w:w="1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P1 — Phase 3</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⑤ Interface &amp; Distribution
(User Layer)</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Pricing Advisor intégré au CRM (recommandation + SHAP)
• Copilote IA conversationnel (LLM + RAG)
• Tableaux de bord gestionnaires (KPI, anomalies, drift)
• Alertes automatisées dans CRM</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Salesforce / Dynamics intégration API
Azure OpenAI Service / Claude API
Power BI / Tableau / Looker
Notifications CRM push</w:t>
            </w:r>
          </w:p>
        </w:tc>
        <w:tc>
          <w:tcPr>
            <w:tcW w:type="dxa" w:w="1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P2 — Phase 3–4</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⑥ Gouvernance &amp; Conformité
(Trust Layer)</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Registre des modèles avec documentation complète
• Audit trail complet de chaque décision de pricing
• Fairness monitoring (biais par sous-groupe)
• Documentation réglementaire (BSIF, Loi 25, RPVP)</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MLflow Model Registry
Databricks Unity Catalog
Great Expectations (qualité données)
Custom fairness dashboard (SHAP groups)</w:t>
            </w:r>
          </w:p>
        </w:tc>
        <w:tc>
          <w:tcPr>
            <w:tcW w:type="dxa" w:w="1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P0 — Intégré dès la Phase 1</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14.2  Matrice valeur vs effort — Priorisation finale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800"/>
        <w:gridCol w:w="800"/>
        <w:gridCol w:w="800"/>
        <w:gridCol w:w="3560"/>
      </w:tblGrid>
      <w:tr>
        <w:trPr>
          <w:tblHeader/>
        </w:trPr>
        <w:tc>
          <w:tcPr>
            <w:tcW w:type="dxa" w:w="4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Rang</w:t>
            </w:r>
          </w:p>
        </w:tc>
        <w:tc>
          <w:tcPr>
            <w:tcW w:type="dxa" w:w="30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Cas d'usage / Initiative</w:t>
            </w:r>
          </w:p>
        </w:tc>
        <w:tc>
          <w:tcPr>
            <w:tcW w:type="dxa" w:w="8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Valeur
(1–10)</w:t>
            </w:r>
          </w:p>
        </w:tc>
        <w:tc>
          <w:tcPr>
            <w:tcW w:type="dxa" w:w="8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Effort
(1–10)</w:t>
            </w:r>
          </w:p>
        </w:tc>
        <w:tc>
          <w:tcPr>
            <w:tcW w:type="dxa" w:w="8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Score
(V/E)</w:t>
            </w:r>
          </w:p>
        </w:tc>
        <w:tc>
          <w:tcPr>
            <w:tcW w:type="dxa" w:w="356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Action immédiate recommandée</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Governance pricing + plancher RAROC</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9.0</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LANCER CETTE SEMAINE — Aucun prérequis tech</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Rapport anomalies sous-tarification (RAROC scoring)</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4.5</w:t>
            </w:r>
          </w:p>
        </w:tc>
        <w:tc>
          <w:tcPr>
            <w:tcW w:type="dxa" w:w="3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LANCER CE MOIS — Données disponibles</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Benchmarking tarifaire structuré</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7</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3.5</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LANCER CE MOIS — Faible effort</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Dashboard suivi marge NIM (BI)</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7</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3.5</w:t>
            </w:r>
          </w:p>
        </w:tc>
        <w:tc>
          <w:tcPr>
            <w:tcW w:type="dxa" w:w="3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LANCER CE MOIS — BI existant</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Segmentation client rentabilité (ABC/RFM)</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8</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2.7</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PHASE 2 — Nécessite profitabilité ABC</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6</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Optimisation spread FX</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6</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2.0</w:t>
            </w:r>
          </w:p>
        </w:tc>
        <w:tc>
          <w:tcPr>
            <w:tcW w:type="dxa" w:w="3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PHASE 2 — Faible complexité</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7</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churn pricing V1</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8</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2.0</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PHASE 2 — Données comportementales CRM</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8</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Simulation rentabilité client (RAROC Live)</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8</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2.0</w:t>
            </w:r>
          </w:p>
        </w:tc>
        <w:tc>
          <w:tcPr>
            <w:tcW w:type="dxa" w:w="3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PHASE 2 — Nécessite FTP uniforme</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prédiction acceptation d'offre</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8</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2.0</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PHASE 2 — Historique offres requis</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10</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Score concurrent NBO externe (mandat 2025)</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1.8</w:t>
            </w:r>
          </w:p>
        </w:tc>
        <w:tc>
          <w:tcPr>
            <w:tcW w:type="dxa" w:w="3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PHASE 2–3 — Conformité Loi 25 prioritaire</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11</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Pricing Advisor CRM (taux recommandé + SHAP)</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6</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1.5</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PHASE 3 — Après élasticité + profitabilité</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12</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Datalake/architecture cloud unifiée</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7</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1.3</w:t>
            </w:r>
          </w:p>
        </w:tc>
        <w:tc>
          <w:tcPr>
            <w:tcW w:type="dxa" w:w="3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ESSENTIEL — Initier en Phase 1</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13</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Copilote IA négociation (LLM + RAG)</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8</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1.1</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PHASE 4 — Infrastructure LLM sécurisée</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14</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Modèle GAN BCG (pricing optimal IA)</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10</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1.1</w:t>
            </w:r>
          </w:p>
        </w:tc>
        <w:tc>
          <w:tcPr>
            <w:tcW w:type="dxa" w:w="3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PHASE 4–5 — Après historique offres riche</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15</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Reinforcement Learning pricing adaptatif</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10</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10</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1.0</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PHASE 5 — Horizon 4–5 ans</w:t>
            </w:r>
          </w:p>
        </w:tc>
      </w:tr>
    </w:tbl>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04A" w:sz="8"/>
              <w:left w:val="single" w:color="00704A" w:sz="8"/>
              <w:bottom w:val="single" w:color="00704A" w:sz="8"/>
              <w:right w:val="single" w:color="00704A" w:sz="8"/>
            </w:tcBorders>
            <w:shd w:fill="E8F5EF" w:val="clear"/>
            <w:tcMar>
              <w:top w:type="dxa" w:w="120"/>
              <w:left w:type="dxa" w:w="200"/>
              <w:bottom w:type="dxa" w:w="120"/>
              <w:right w:type="dxa" w:w="200"/>
            </w:tcMar>
          </w:tcPr>
          <w:p>
            <w:r>
              <w:rPr>
                <w:rFonts w:ascii="Arial" w:cs="Arial" w:eastAsia="Arial" w:hAnsi="Arial"/>
                <w:b w:val="false"/>
                <w:bCs w:val="false"/>
                <w:color w:val="004D33"/>
                <w:sz w:val="19"/>
                <w:szCs w:val="19"/>
              </w:rPr>
              <w:t xml:space="preserve">🎯  CONCLUSION STRATÉGIQUE
La PVP Entreprises dispose d'un potentiel analytique considérable et d'un actif de données sous-exploité. Les sources de référence les plus avancées (BCG, McKinsey, BIS, Revue Banque, Oracle AI) convergent sur un message commun : les banques qui investissent dans le pricing analytique augmentent leur NIM de 5 à 20 pb, réduisent leurs concessions de 15 à 25 %, et améliorent leur taux de rétention de 5 à 15 %.
En combinant une gouvernance du pricing immédiate (gains rapides, faible investissement) avec un programme analytique structuré sur 4–5 ans, et en s'appuyant sur le mandat NBO externe (FM-PVPE-2025) comme pierre angulaire de l'intelligence compétitive, Desjardins peut aspirer à figurer parmi les 5 meilleures banques commerciales nord-américaines en matière de tarification data-driven.
L'avantage coopératif de Desjardins — tarifer pour la relation et la collectivité, pas pour l'actionnaire — est une différenciation narrative puissante à condition d'être soutenue par des outils analytiques qui le démontrent concrètement à chaque interaction membre.</w:t>
            </w:r>
          </w:p>
        </w:tc>
      </w:tr>
    </w:tbl>
    <w:p>
      <w:pPr>
        <w:spacing w:before="3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14.3  Sources de référence intégrées dans ce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Source</w:t>
            </w:r>
          </w:p>
        </w:tc>
        <w:tc>
          <w:tcPr>
            <w:tcW w:type="dxa" w:w="24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Organisation</w:t>
            </w:r>
          </w:p>
        </w:tc>
        <w:tc>
          <w:tcPr>
            <w:tcW w:type="dxa" w:w="376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Contribution principale</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AI-Driven Commercial Loan Pricing</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BCG (Boston Consulting Group)</w:t>
            </w:r>
          </w:p>
        </w:tc>
        <w:tc>
          <w:tcPr>
            <w:tcW w:type="dxa" w:w="3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GAN pour pricing optimal — approche agents virtuels</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Price to Win: Smarter Pricing</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McKinsey &amp; Company</w:t>
            </w:r>
          </w:p>
        </w:tc>
        <w:tc>
          <w:tcPr>
            <w:tcW w:type="dxa" w:w="3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Gouvernance du pricing, analyse 80/20, pertes de marge non détectées</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Getting the data architecture right in banking</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McKinsey Tech Forward</w:t>
            </w:r>
          </w:p>
        </w:tc>
        <w:tc>
          <w:tcPr>
            <w:tcW w:type="dxa" w:w="3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Architecture Data Lakehouse, cloud, automatisation</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Risk-based pricing in competitive lending markets</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BIS (Bank for International Settlements)</w:t>
            </w:r>
          </w:p>
        </w:tc>
        <w:tc>
          <w:tcPr>
            <w:tcW w:type="dxa" w:w="3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Impact de la concurrence sur le risk-based pricing</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Using Relationship Pricing to Boost Profitability</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PCBB (2026)</w:t>
            </w:r>
          </w:p>
        </w:tc>
        <w:tc>
          <w:tcPr>
            <w:tcW w:type="dxa" w:w="3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Relationship pricing, clients multi-produits, fidélisation</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Understanding RAROC / NIM / Risk-Based Pricing</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Investopedia</w:t>
            </w:r>
          </w:p>
        </w:tc>
        <w:tc>
          <w:tcPr>
            <w:tcW w:type="dxa" w:w="3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Définitions et formules de référence</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Developing an End-to-End Credit Pricing Model with ML</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Can Demir (Medium)</w:t>
            </w:r>
          </w:p>
        </w:tc>
        <w:tc>
          <w:tcPr>
            <w:tcW w:type="dxa" w:w="3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ML pricing crédit — profit espéré, willingness to pay</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Le pricing dans la banque, un modèle à revoir</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Revue Banque</w:t>
            </w:r>
          </w:p>
        </w:tc>
        <w:tc>
          <w:tcPr>
            <w:tcW w:type="dxa" w:w="3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Fragmentation tarifaire, tarification dynamique, centricité client</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Leading banks rolling out more generative AI</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Oracle AI</w:t>
            </w:r>
          </w:p>
        </w:tc>
        <w:tc>
          <w:tcPr>
            <w:tcW w:type="dxa" w:w="3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Classement Evident Insights AI banking, JPMorgan, RBC, ING</w:t>
            </w:r>
          </w:p>
        </w:tc>
      </w:tr>
      <w:tr>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JPMorgan's Dimon Positions AI as Competitive Battleground</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PYMNTS (2026)</w:t>
            </w:r>
          </w:p>
        </w:tc>
        <w:tc>
          <w:tcPr>
            <w:tcW w:type="dxa" w:w="3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IA pour pricing, engagement client et gestion du risque — JPMorgan</w:t>
            </w:r>
          </w:p>
        </w:tc>
      </w:tr>
      <w:tr>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Mandat FM-PVPE-2025-XXX — Intelligence compétitive</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PVP Entreprises — Desjardins</w:t>
            </w:r>
          </w:p>
        </w:tc>
        <w:tc>
          <w:tcPr>
            <w:tcW w:type="dxa" w:w="3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NBO externe, signaux concurrentiels, 12 catégories produits</w:t>
            </w:r>
          </w:p>
        </w:tc>
      </w:tr>
    </w:tbl>
    <w:p>
      <w:pPr>
        <w:spacing w:before="30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04040"/>
        <w:sz w:val="16"/>
        <w:szCs w:val="16"/>
      </w:rPr>
      <w:t xml:space="preserve">PVP Entreprises — Desjardins  |  Tarification Analytique B2B v2.0  |  Sources : BCG, McKinsey, BIS, Oracle AI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560" w:hanging="280"/>
      </w:pPr>
      <w:rPr>
        <w:color w:val="00704A"/>
        <w:sz w:val="16"/>
        <w:szCs w:val="16"/>
      </w:rPr>
    </w:lvl>
  </w:abstractNum>
  <w:abstractNum w:abstractNumId="3"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spacing w:after="40" w:before="40"/>
        <w:ind w:left="1120" w:hanging="280"/>
      </w:pPr>
      <w:rPr>
        <w:color w:val="404040"/>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704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4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2026-05-17T14:05:52.786Z</dcterms:created>
  <dcterms:modified xsi:type="dcterms:W3CDTF">2026-05-17T14:05:52.798Z</dcterms:modified>
</cp:coreProperties>
</file>

<file path=docProps/custom.xml><?xml version="1.0" encoding="utf-8"?>
<Properties xmlns="http://schemas.openxmlformats.org/officeDocument/2006/custom-properties" xmlns:vt="http://schemas.openxmlformats.org/officeDocument/2006/docPropsVTypes"/>
</file>