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921D98" w14:textId="77777777" w:rsidR="00E944AC" w:rsidRDefault="00E944AC">
      <w:pPr>
        <w:spacing w:after="80"/>
      </w:pPr>
    </w:p>
    <w:p w14:paraId="70861680" w14:textId="77777777" w:rsidR="00E944AC" w:rsidRDefault="00E944AC">
      <w:pPr>
        <w:spacing w:after="80"/>
      </w:pPr>
    </w:p>
    <w:p w14:paraId="631A14E0" w14:textId="77777777" w:rsidR="00E944AC" w:rsidRDefault="00E944AC">
      <w:pPr>
        <w:spacing w:after="80"/>
      </w:pPr>
    </w:p>
    <w:p w14:paraId="7A9FB043" w14:textId="77777777" w:rsidR="00E944AC" w:rsidRDefault="000A0040">
      <w:pPr>
        <w:spacing w:after="120"/>
        <w:jc w:val="center"/>
      </w:pPr>
      <w:r>
        <w:rPr>
          <w:b/>
          <w:bCs/>
          <w:color w:val="1A3C34"/>
          <w:sz w:val="52"/>
          <w:szCs w:val="52"/>
        </w:rPr>
        <w:t>FICHE MANDAT</w:t>
      </w:r>
    </w:p>
    <w:p w14:paraId="5B39E0D7" w14:textId="77777777" w:rsidR="00E944AC" w:rsidRDefault="000A0040">
      <w:pPr>
        <w:pBdr>
          <w:bottom w:val="single" w:sz="12" w:space="6" w:color="00704A"/>
        </w:pBdr>
        <w:spacing w:after="240"/>
        <w:jc w:val="center"/>
      </w:pPr>
      <w:r>
        <w:rPr>
          <w:color w:val="00704A"/>
          <w:sz w:val="32"/>
          <w:szCs w:val="32"/>
        </w:rPr>
        <w:t>Cas d'usage analytique</w:t>
      </w:r>
    </w:p>
    <w:p w14:paraId="56738487" w14:textId="77777777" w:rsidR="00E944AC" w:rsidRDefault="00E944AC">
      <w:pPr>
        <w:spacing w:after="80"/>
      </w:pPr>
    </w:p>
    <w:p w14:paraId="28B00284" w14:textId="77777777" w:rsidR="00E944AC" w:rsidRDefault="000A0040">
      <w:pPr>
        <w:spacing w:before="120" w:after="80"/>
        <w:jc w:val="center"/>
      </w:pPr>
      <w:r>
        <w:rPr>
          <w:b/>
          <w:bCs/>
          <w:color w:val="1A3C34"/>
          <w:sz w:val="36"/>
          <w:szCs w:val="36"/>
        </w:rPr>
        <w:t>Intelligence compétitive — Détection des produits</w:t>
      </w:r>
    </w:p>
    <w:p w14:paraId="035D42C5" w14:textId="77777777" w:rsidR="00E944AC" w:rsidRDefault="000A0040">
      <w:pPr>
        <w:spacing w:after="320"/>
        <w:jc w:val="center"/>
      </w:pPr>
      <w:r>
        <w:rPr>
          <w:b/>
          <w:bCs/>
          <w:color w:val="1A3C34"/>
          <w:sz w:val="36"/>
          <w:szCs w:val="36"/>
        </w:rPr>
        <w:t>détenus par les membres entreprises chez la concurrence</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tblGrid>
      <w:tr w:rsidR="00E944AC" w14:paraId="3576FAD8" w14:textId="77777777">
        <w:tc>
          <w:tcPr>
            <w:tcW w:w="24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2BD7379D" w14:textId="77777777" w:rsidR="00E944AC" w:rsidRDefault="000A0040">
            <w:r>
              <w:rPr>
                <w:b/>
                <w:bCs/>
                <w:color w:val="1A3C34"/>
                <w:sz w:val="20"/>
                <w:szCs w:val="20"/>
              </w:rPr>
              <w:t>Numéro de mandat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D56C7" w14:textId="77777777" w:rsidR="00E944AC" w:rsidRDefault="000A0040">
            <w:r>
              <w:rPr>
                <w:sz w:val="20"/>
                <w:szCs w:val="20"/>
              </w:rPr>
              <w:t>FM-PVPE-2025-XXX</w:t>
            </w:r>
          </w:p>
        </w:tc>
      </w:tr>
      <w:tr w:rsidR="00E944AC" w14:paraId="16770F44" w14:textId="77777777">
        <w:tc>
          <w:tcPr>
            <w:tcW w:w="24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3081EF56" w14:textId="77777777" w:rsidR="00E944AC" w:rsidRDefault="000A0040">
            <w:r>
              <w:rPr>
                <w:b/>
                <w:bCs/>
                <w:color w:val="1A3C34"/>
                <w:sz w:val="20"/>
                <w:szCs w:val="20"/>
              </w:rPr>
              <w:t>Date de création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778EF" w14:textId="77777777" w:rsidR="00E944AC" w:rsidRDefault="000A0040">
            <w:r>
              <w:rPr>
                <w:sz w:val="20"/>
                <w:szCs w:val="20"/>
              </w:rPr>
              <w:t>Juin 2025</w:t>
            </w:r>
          </w:p>
        </w:tc>
      </w:tr>
      <w:tr w:rsidR="00E944AC" w14:paraId="06356DE7" w14:textId="77777777">
        <w:tc>
          <w:tcPr>
            <w:tcW w:w="24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70915E25" w14:textId="77777777" w:rsidR="00E944AC" w:rsidRDefault="000A0040">
            <w:r>
              <w:rPr>
                <w:b/>
                <w:bCs/>
                <w:color w:val="1A3C34"/>
                <w:sz w:val="20"/>
                <w:szCs w:val="20"/>
              </w:rPr>
              <w:t>Équipe responsable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5A55C" w14:textId="77777777" w:rsidR="00E944AC" w:rsidRDefault="000A0040">
            <w:r>
              <w:rPr>
                <w:sz w:val="20"/>
                <w:szCs w:val="20"/>
              </w:rPr>
              <w:t>PVP Entreprises — Analytique</w:t>
            </w:r>
          </w:p>
        </w:tc>
      </w:tr>
      <w:tr w:rsidR="00E944AC" w14:paraId="0FA61118" w14:textId="77777777">
        <w:tc>
          <w:tcPr>
            <w:tcW w:w="24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4AC5E23A" w14:textId="77777777" w:rsidR="00E944AC" w:rsidRDefault="000A0040">
            <w:r>
              <w:rPr>
                <w:b/>
                <w:bCs/>
                <w:color w:val="1A3C34"/>
                <w:sz w:val="20"/>
                <w:szCs w:val="20"/>
              </w:rPr>
              <w:t>Statut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4A476" w14:textId="77777777" w:rsidR="00E944AC" w:rsidRDefault="000A0040">
            <w:r>
              <w:rPr>
                <w:sz w:val="20"/>
                <w:szCs w:val="20"/>
              </w:rPr>
              <w:t>En conception</w:t>
            </w:r>
          </w:p>
        </w:tc>
      </w:tr>
      <w:tr w:rsidR="00E944AC" w14:paraId="10D3A3DC" w14:textId="77777777">
        <w:tc>
          <w:tcPr>
            <w:tcW w:w="24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70EA9178" w14:textId="77777777" w:rsidR="00E944AC" w:rsidRDefault="000A0040">
            <w:r>
              <w:rPr>
                <w:b/>
                <w:bCs/>
                <w:color w:val="1A3C34"/>
                <w:sz w:val="20"/>
                <w:szCs w:val="20"/>
              </w:rPr>
              <w:t>Horizon cible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DB9AEE" w14:textId="77777777" w:rsidR="00E944AC" w:rsidRDefault="000A0040">
            <w:r>
              <w:rPr>
                <w:sz w:val="20"/>
                <w:szCs w:val="20"/>
              </w:rPr>
              <w:t>Opérationnalisation 2027</w:t>
            </w:r>
          </w:p>
        </w:tc>
      </w:tr>
    </w:tbl>
    <w:p w14:paraId="2241EB17" w14:textId="77777777" w:rsidR="00E944AC" w:rsidRDefault="000A0040">
      <w:r>
        <w:br w:type="page"/>
      </w:r>
    </w:p>
    <w:p w14:paraId="55E4A5B9" w14:textId="77777777" w:rsidR="00E944AC" w:rsidRDefault="000A0040">
      <w:pPr>
        <w:pStyle w:val="Titre1"/>
        <w:pBdr>
          <w:bottom w:val="single" w:sz="8" w:space="4" w:color="00704A"/>
        </w:pBdr>
      </w:pPr>
      <w:r>
        <w:lastRenderedPageBreak/>
        <w:t>1. Résumé exécutif</w:t>
      </w:r>
    </w:p>
    <w:p w14:paraId="3FB69847" w14:textId="77777777" w:rsidR="00E944AC" w:rsidRDefault="000A0040">
      <w:pPr>
        <w:spacing w:before="60" w:after="80"/>
      </w:pPr>
      <w:r>
        <w:t>Ce mandat vise à développer une capacité analytique prédictive permettant d'identifier, avec un haut degré de confiance, quels membres entreprises de Desjardins détiennent un ou plusieurs produits financiers comparables chez des institutions concurrentes. En s'appuyant sur les données transactionnelles, comportementales et de portefeuille disponibles dans l'écosystème Desjardins, le modèle produira des scores de probabilité de détention pour 12 catégories de produits — du financement long terme aux solutions de paiement marchand, en passant par le transfert d'entreprises.</w:t>
      </w:r>
    </w:p>
    <w:p w14:paraId="5AFCAF1D" w14:textId="77777777" w:rsidR="00E944AC" w:rsidRDefault="000A0040">
      <w:pPr>
        <w:spacing w:before="60" w:after="80"/>
      </w:pPr>
      <w:r>
        <w:t>Dans un contexte où la pression concurrentielle sur le segment entreprises s'intensifie (grandes banques, fintechs spécialisées, plateformes de paiement), Desjardins ne dispose pas aujourd'hui d'une vision systématique et actualisée de la part de portefeuille captée par la concurrence pour chaque membre. Ce manque de visibilité limite la capacité des équipes de conseillers à intervenir de façon proactive et ciblée.</w:t>
      </w:r>
    </w:p>
    <w:p w14:paraId="2AD6C4C7" w14:textId="77777777" w:rsidR="00E944AC" w:rsidRDefault="000A0040">
      <w:pPr>
        <w:spacing w:before="60" w:after="80"/>
      </w:pPr>
      <w:r>
        <w:t>Opérationnalisé en 2027, ce cas d'usage alimentera directement les flux CRM, les campagnes de rétention et les stratégies d'approfondissement de la relation membre, contribuant à l'objectif stratégique de croissance organique du portefeuille entreprises de la PVP.</w:t>
      </w:r>
    </w:p>
    <w:p w14:paraId="0C47C696" w14:textId="77777777" w:rsidR="00E944AC" w:rsidRDefault="00E944AC">
      <w:pPr>
        <w:spacing w:after="80"/>
      </w:pPr>
    </w:p>
    <w:p w14:paraId="389A1620" w14:textId="77777777" w:rsidR="00E944AC" w:rsidRDefault="000A0040">
      <w:pPr>
        <w:pStyle w:val="Titre1"/>
        <w:pBdr>
          <w:bottom w:val="single" w:sz="8" w:space="4" w:color="00704A"/>
        </w:pBdr>
      </w:pPr>
      <w:r>
        <w:t>2. Problème d'affaires</w:t>
      </w:r>
    </w:p>
    <w:p w14:paraId="0A4F94DB" w14:textId="77777777" w:rsidR="00E944AC" w:rsidRDefault="000A0040">
      <w:pPr>
        <w:pStyle w:val="Titre2"/>
      </w:pPr>
      <w:r>
        <w:t>2.1 Contexte compétitif</w:t>
      </w:r>
    </w:p>
    <w:p w14:paraId="2A0E571F" w14:textId="77777777" w:rsidR="00E944AC" w:rsidRDefault="000A0040">
      <w:pPr>
        <w:spacing w:before="60" w:after="80"/>
      </w:pPr>
      <w:r>
        <w:t>Le segment des membres entreprises fait face à une intensification de la pression concurrentielle sur l'ensemble des lignes de produits. Les grandes banques canadiennes (BMO, TD, RBC, BNC) ont renforcé leurs offres dédiées aux PME, tandis que des acteurs spécialisés gagnent des parts de marché sur des segments précis : Moneris, Square et Stripe pour les solutions de paiement marchand; Nethris, Employeur D, ADP et Payworks pour la paie; des firmes-conseils spécialisées (Richter, Raymond Chabot, KPMG Corporate Finance) pour le transfert d'entreprises. Les fintechs de financement alternatif (Clearco, Driven, Thinking Capital) capturent quant à elles des besoins de financement que les institutions traditionnelles traitent avec des délais plus longs.</w:t>
      </w:r>
    </w:p>
    <w:p w14:paraId="033117A2" w14:textId="77777777" w:rsidR="00E944AC" w:rsidRDefault="000A0040">
      <w:pPr>
        <w:spacing w:before="60" w:after="80"/>
      </w:pPr>
      <w:r>
        <w:t>Cette fragmentation de l'offre signifie qu'un membre peut maintenir une relation principale avec Desjardins tout en ayant migré certains produits stratégiques vers des concurrents, souvent sans que le conseiller en soit informé.</w:t>
      </w:r>
    </w:p>
    <w:p w14:paraId="0D644D63" w14:textId="77777777" w:rsidR="00E944AC" w:rsidRDefault="000A0040">
      <w:pPr>
        <w:pStyle w:val="Titre2"/>
      </w:pPr>
      <w:r>
        <w:t>2.2 Limites de la connaissance actuelle</w:t>
      </w:r>
    </w:p>
    <w:p w14:paraId="5BF996E6" w14:textId="77777777" w:rsidR="00E944AC" w:rsidRDefault="000A0040">
      <w:pPr>
        <w:spacing w:before="60" w:after="80"/>
      </w:pPr>
      <w:r>
        <w:t>À ce jour, Desjardins ne dispose pas d'un mécanisme analytique structuré permettant de déduire systématiquement la détention de produits concurrents à partir des données disponibles. La connaissance de la situation concurrentielle d'un membre repose essentiellement sur les déclarations du membre lors d'interactions avec le conseiller — une source partielle, non systématique et sujette au biais de désirabilité sociale.</w:t>
      </w:r>
    </w:p>
    <w:p w14:paraId="111ECE6C" w14:textId="77777777" w:rsidR="00E944AC" w:rsidRDefault="000A0040">
      <w:pPr>
        <w:spacing w:before="60" w:after="80"/>
      </w:pPr>
      <w:r>
        <w:t>Les données transactionnelles, comportementales (AccèsD Affaires) et de portefeuille contiennent pourtant de nombreux signaux indirects non exploités : flux de règlement vers des agrégateurs de paiement concurrents, débits récurrents vers des fournisseurs de services de paie, virements sortants vers d'autres institutions financières, comportements d'utilisation sous-optimale des produits Desjardins existants, etc.</w:t>
      </w:r>
    </w:p>
    <w:p w14:paraId="65E1C90B" w14:textId="77777777" w:rsidR="00E944AC" w:rsidRDefault="000A0040">
      <w:pPr>
        <w:pStyle w:val="Titre2"/>
      </w:pPr>
      <w:r>
        <w:t>2.3 Risques de désintermédiation et d'attrition</w:t>
      </w:r>
    </w:p>
    <w:p w14:paraId="21EA9399" w14:textId="77777777" w:rsidR="00E944AC" w:rsidRDefault="000A0040">
      <w:pPr>
        <w:spacing w:before="60" w:after="80"/>
      </w:pPr>
      <w:r>
        <w:lastRenderedPageBreak/>
        <w:t>La détention de produits concurrents sur des segments stratégiques (financement long terme, paiement marchand, services internationaux) augmente significativement le risque d'attrition globale du membre. Un membre ayant migré son terminal de paiement ou sa plateforme de paie vers un concurrent a établi une relation opérationnelle quotidienne avec cet acteur, ce qui crée une loyauté fonctionnelle difficile à renverser. La détection précoce de ces signaux de migration est donc un levier critique de rétention.</w:t>
      </w:r>
    </w:p>
    <w:p w14:paraId="3F2D1DF0" w14:textId="77777777" w:rsidR="00E944AC" w:rsidRDefault="000A0040">
      <w:r>
        <w:br w:type="page"/>
      </w:r>
    </w:p>
    <w:p w14:paraId="40E2535C" w14:textId="77777777" w:rsidR="00E944AC" w:rsidRDefault="000A0040">
      <w:pPr>
        <w:pStyle w:val="Titre1"/>
        <w:pBdr>
          <w:bottom w:val="single" w:sz="8" w:space="4" w:color="00704A"/>
        </w:pBdr>
      </w:pPr>
      <w:r>
        <w:lastRenderedPageBreak/>
        <w:t>3. Objectifs SMART du cas d'usage</w:t>
      </w:r>
    </w:p>
    <w:p w14:paraId="45A4BBBA" w14:textId="77777777" w:rsidR="00E944AC" w:rsidRDefault="000A0040">
      <w:pPr>
        <w:pStyle w:val="Paragraphedeliste"/>
        <w:numPr>
          <w:ilvl w:val="0"/>
          <w:numId w:val="2"/>
        </w:numPr>
        <w:spacing w:before="40" w:after="40"/>
      </w:pPr>
      <w:r>
        <w:t>Développer, d'ici T3 2026, des modèles de propension atteignant un AUC ≥ 0,75 pour au moins 8 des 12 catégories de produits ciblées, mesurés sur un ensemble de validation hors-échantillon représentatif de la population membres entreprises.</w:t>
      </w:r>
    </w:p>
    <w:p w14:paraId="5BC29719" w14:textId="77777777" w:rsidR="00E944AC" w:rsidRDefault="000A0040">
      <w:pPr>
        <w:pStyle w:val="Paragraphedeliste"/>
        <w:numPr>
          <w:ilvl w:val="0"/>
          <w:numId w:val="2"/>
        </w:numPr>
        <w:spacing w:before="40" w:after="40"/>
      </w:pPr>
      <w:r>
        <w:t>Couvrir 100 % de la population membres entreprises actifs (comptes commerciaux avec au moins une transaction dans les 12 derniers mois) avec un score de risque de détention concurrente par catégorie de produit, disponible dans l'environnement CRM de la PVP dès le déploiement en T1 2027.</w:t>
      </w:r>
    </w:p>
    <w:p w14:paraId="532B93B1" w14:textId="77777777" w:rsidR="00E944AC" w:rsidRDefault="000A0040">
      <w:pPr>
        <w:pStyle w:val="Paragraphedeliste"/>
        <w:numPr>
          <w:ilvl w:val="0"/>
          <w:numId w:val="2"/>
        </w:numPr>
        <w:spacing w:before="40" w:after="40"/>
      </w:pPr>
      <w:r>
        <w:t>Permettre aux équipes de conseillers d'identifier, dans le top 20 % des membres scorés, au moins 70 % des membres ayant réellement une relation concurrente confirmée (rappel ≥ 0,70 sur le segment haute propension), validé lors du pilote terrain en 2026.</w:t>
      </w:r>
    </w:p>
    <w:p w14:paraId="49CDBF92" w14:textId="77777777" w:rsidR="00E944AC" w:rsidRDefault="000A0040">
      <w:pPr>
        <w:pStyle w:val="Paragraphedeliste"/>
        <w:numPr>
          <w:ilvl w:val="0"/>
          <w:numId w:val="2"/>
        </w:numPr>
        <w:spacing w:before="40" w:after="40"/>
      </w:pPr>
      <w:r>
        <w:t>Contribuer, dans les 12 mois suivant le déploiement, à une augmentation mesurable de 10 % du taux de récupération de produits sur les catégories ciblées (financement, paiement marchand, services de paie), mesurée par rapport à la cohorte de contrôle.</w:t>
      </w:r>
    </w:p>
    <w:p w14:paraId="753B2ECF" w14:textId="77777777" w:rsidR="00E944AC" w:rsidRDefault="000A0040">
      <w:pPr>
        <w:pStyle w:val="Paragraphedeliste"/>
        <w:numPr>
          <w:ilvl w:val="0"/>
          <w:numId w:val="2"/>
        </w:numPr>
        <w:spacing w:before="40" w:after="40"/>
      </w:pPr>
      <w:r>
        <w:t>Assurer la conformité totale du cas d'usage avec la Loi 25 et les politiques internes de gouvernance des données de Desjardins, validée par les équipes conformité et vie privée avant le déploiement en pilote (T4 2026).</w:t>
      </w:r>
    </w:p>
    <w:p w14:paraId="7A7FB52E" w14:textId="77777777" w:rsidR="00E944AC" w:rsidRDefault="00E944AC">
      <w:pPr>
        <w:spacing w:after="80"/>
      </w:pPr>
    </w:p>
    <w:p w14:paraId="10569AD4" w14:textId="77777777" w:rsidR="00E944AC" w:rsidRDefault="000A0040">
      <w:pPr>
        <w:pStyle w:val="Titre1"/>
        <w:pBdr>
          <w:bottom w:val="single" w:sz="8" w:space="4" w:color="00704A"/>
        </w:pBdr>
      </w:pPr>
      <w:r>
        <w:t>4. Sources de données requises</w:t>
      </w:r>
    </w:p>
    <w:p w14:paraId="657E66E5" w14:textId="77777777" w:rsidR="00E944AC" w:rsidRDefault="000A0040">
      <w:pPr>
        <w:pStyle w:val="Titre2"/>
      </w:pPr>
      <w:r>
        <w:t>4.1 Sources internes Desjardins</w:t>
      </w:r>
    </w:p>
    <w:p w14:paraId="3D3E3BA7" w14:textId="77777777" w:rsidR="00E944AC" w:rsidRDefault="000A0040">
      <w:pPr>
        <w:spacing w:before="200" w:after="80"/>
      </w:pPr>
      <w:r>
        <w:rPr>
          <w:b/>
          <w:bCs/>
          <w:color w:val="1A3C34"/>
        </w:rPr>
        <w:t>Données transactionnelles</w:t>
      </w:r>
    </w:p>
    <w:p w14:paraId="1783550E" w14:textId="77777777" w:rsidR="00E944AC" w:rsidRDefault="000A0040">
      <w:pPr>
        <w:pStyle w:val="Paragraphedeliste"/>
        <w:numPr>
          <w:ilvl w:val="0"/>
          <w:numId w:val="3"/>
        </w:numPr>
        <w:spacing w:before="40" w:after="40"/>
      </w:pPr>
      <w:r>
        <w:t>Transactions des comptes commerciaux (débit/crédit, montant, contrepartie, libellé) — signaux primaires pour détecter flux vers concurrents</w:t>
      </w:r>
    </w:p>
    <w:p w14:paraId="2462B655" w14:textId="77777777" w:rsidR="00E944AC" w:rsidRDefault="000A0040">
      <w:pPr>
        <w:pStyle w:val="Paragraphedeliste"/>
        <w:numPr>
          <w:ilvl w:val="0"/>
          <w:numId w:val="3"/>
        </w:numPr>
        <w:spacing w:before="40" w:after="40"/>
      </w:pPr>
      <w:r>
        <w:t>Transactions par carte de débit et crédit — comportements de paiement et utilisation relative des produits Desjardins vs concurrents</w:t>
      </w:r>
    </w:p>
    <w:p w14:paraId="79F98FDA" w14:textId="77777777" w:rsidR="00E944AC" w:rsidRDefault="000A0040">
      <w:pPr>
        <w:pStyle w:val="Paragraphedeliste"/>
        <w:numPr>
          <w:ilvl w:val="0"/>
          <w:numId w:val="3"/>
        </w:numPr>
        <w:spacing w:before="40" w:after="40"/>
      </w:pPr>
      <w:r>
        <w:t>Historique de règlement des terminaux Desjardins (Global Payment) — volume et fréquence de traitement pour détecter migration vers Moneris/Square</w:t>
      </w:r>
    </w:p>
    <w:p w14:paraId="76108824" w14:textId="77777777" w:rsidR="00E944AC" w:rsidRDefault="000A0040">
      <w:pPr>
        <w:pStyle w:val="Paragraphedeliste"/>
        <w:numPr>
          <w:ilvl w:val="0"/>
          <w:numId w:val="3"/>
        </w:numPr>
        <w:spacing w:before="40" w:after="40"/>
      </w:pPr>
      <w:r>
        <w:t>Virements entrants et sortants (interac, SWIFT, ACH) — flux vers/depuis d'autres institutions financières</w:t>
      </w:r>
    </w:p>
    <w:p w14:paraId="7343C749" w14:textId="77777777" w:rsidR="00E944AC" w:rsidRDefault="000A0040">
      <w:pPr>
        <w:pStyle w:val="Paragraphedeliste"/>
        <w:numPr>
          <w:ilvl w:val="0"/>
          <w:numId w:val="3"/>
        </w:numPr>
        <w:spacing w:before="40" w:after="40"/>
      </w:pPr>
      <w:r>
        <w:t>Paiements de masse et fichiers de paie (ACH) — présence ou absence de la plateforme Desjardins Paie, détection de fichiers provenant de systèmes tiers</w:t>
      </w:r>
    </w:p>
    <w:p w14:paraId="0A411F41" w14:textId="77777777" w:rsidR="00E944AC" w:rsidRDefault="000A0040">
      <w:pPr>
        <w:spacing w:before="200" w:after="80"/>
      </w:pPr>
      <w:r>
        <w:rPr>
          <w:b/>
          <w:bCs/>
          <w:color w:val="1A3C34"/>
        </w:rPr>
        <w:t>Données de portefeuille et CRM</w:t>
      </w:r>
    </w:p>
    <w:p w14:paraId="7F58AB18" w14:textId="77777777" w:rsidR="00E944AC" w:rsidRDefault="000A0040">
      <w:pPr>
        <w:pStyle w:val="Paragraphedeliste"/>
        <w:numPr>
          <w:ilvl w:val="0"/>
          <w:numId w:val="3"/>
        </w:numPr>
        <w:spacing w:before="40" w:after="40"/>
      </w:pPr>
      <w:r>
        <w:t>Produits actifs détenus chez Desjardins par membre (prêts, dépôts, placements, assurances, services) — base de référence pour identifier les catégories non détenues</w:t>
      </w:r>
    </w:p>
    <w:p w14:paraId="07A8B78D" w14:textId="77777777" w:rsidR="00E944AC" w:rsidRDefault="000A0040">
      <w:pPr>
        <w:pStyle w:val="Paragraphedeliste"/>
        <w:numPr>
          <w:ilvl w:val="0"/>
          <w:numId w:val="3"/>
        </w:numPr>
        <w:spacing w:before="40" w:after="40"/>
      </w:pPr>
      <w:r>
        <w:t>Historique de relation membre (ancienneté, évolution du portefeuille, attrition partielle passée)</w:t>
      </w:r>
    </w:p>
    <w:p w14:paraId="6E964B33" w14:textId="77777777" w:rsidR="00E944AC" w:rsidRDefault="000A0040">
      <w:pPr>
        <w:pStyle w:val="Paragraphedeliste"/>
        <w:numPr>
          <w:ilvl w:val="0"/>
          <w:numId w:val="3"/>
        </w:numPr>
        <w:spacing w:before="40" w:after="40"/>
      </w:pPr>
      <w:r>
        <w:t>Notes et interactions conseillers dans le CRM — mentions de produits concurrents, discussions de relève, besoins exprimés</w:t>
      </w:r>
    </w:p>
    <w:p w14:paraId="16CFDF76" w14:textId="77777777" w:rsidR="00E944AC" w:rsidRDefault="000A0040">
      <w:pPr>
        <w:pStyle w:val="Paragraphedeliste"/>
        <w:numPr>
          <w:ilvl w:val="0"/>
          <w:numId w:val="3"/>
        </w:numPr>
        <w:spacing w:before="40" w:after="40"/>
      </w:pPr>
      <w:r>
        <w:t>Profil démographique du dirigeant (âge, rôle, ancienneté dans l'entreprise) — signal clé pour le transfert d'entreprises</w:t>
      </w:r>
    </w:p>
    <w:p w14:paraId="3FBC7621" w14:textId="77777777" w:rsidR="00E944AC" w:rsidRDefault="000A0040">
      <w:pPr>
        <w:pStyle w:val="Paragraphedeliste"/>
        <w:numPr>
          <w:ilvl w:val="0"/>
          <w:numId w:val="3"/>
        </w:numPr>
        <w:spacing w:before="40" w:after="40"/>
      </w:pPr>
      <w:r>
        <w:t xml:space="preserve">Segmentation et classification NAICS/SIC de l'entreprise membre — appétit produit par </w:t>
      </w:r>
      <w:commentRangeStart w:id="0"/>
      <w:r>
        <w:t>secteur</w:t>
      </w:r>
      <w:commentRangeEnd w:id="0"/>
      <w:r w:rsidR="00F12C62">
        <w:rPr>
          <w:rStyle w:val="Marquedecommentaire"/>
        </w:rPr>
        <w:commentReference w:id="0"/>
      </w:r>
    </w:p>
    <w:p w14:paraId="3C0C95AC" w14:textId="77777777" w:rsidR="00E944AC" w:rsidRDefault="000A0040">
      <w:pPr>
        <w:spacing w:before="200" w:after="80"/>
      </w:pPr>
      <w:r>
        <w:rPr>
          <w:b/>
          <w:bCs/>
          <w:color w:val="1A3C34"/>
        </w:rPr>
        <w:lastRenderedPageBreak/>
        <w:t>Données comportementales numériques</w:t>
      </w:r>
    </w:p>
    <w:p w14:paraId="49D6BE7A" w14:textId="77777777" w:rsidR="00E944AC" w:rsidRDefault="000A0040">
      <w:pPr>
        <w:pStyle w:val="Paragraphedeliste"/>
        <w:numPr>
          <w:ilvl w:val="0"/>
          <w:numId w:val="3"/>
        </w:numPr>
        <w:spacing w:before="40" w:after="40"/>
      </w:pPr>
      <w:r>
        <w:t>Logs de connexion et navigation sur AccèsD Affaires — fréquence, profondeur d'utilisation, modules consultés</w:t>
      </w:r>
    </w:p>
    <w:p w14:paraId="4E5623BD" w14:textId="77777777" w:rsidR="00E944AC" w:rsidRDefault="000A0040">
      <w:pPr>
        <w:pStyle w:val="Paragraphedeliste"/>
        <w:numPr>
          <w:ilvl w:val="0"/>
          <w:numId w:val="3"/>
        </w:numPr>
        <w:spacing w:before="40" w:after="40"/>
      </w:pPr>
      <w:r>
        <w:t>Utilisation ou non-utilisation de fonctionnalités spécifiques (virements internationaux, services de change, gestion de trésorerie)</w:t>
      </w:r>
    </w:p>
    <w:p w14:paraId="59A5E632" w14:textId="77777777" w:rsidR="00E944AC" w:rsidRDefault="000A0040">
      <w:pPr>
        <w:pStyle w:val="Titre2"/>
      </w:pPr>
      <w:r>
        <w:t>4.2 Sources externes et proxies</w:t>
      </w:r>
    </w:p>
    <w:p w14:paraId="4C7CF284" w14:textId="77777777" w:rsidR="00E944AC" w:rsidRDefault="000A0040">
      <w:pPr>
        <w:pStyle w:val="Paragraphedeliste"/>
        <w:numPr>
          <w:ilvl w:val="0"/>
          <w:numId w:val="3"/>
        </w:numPr>
        <w:spacing w:before="40" w:after="40"/>
      </w:pPr>
      <w:r>
        <w:t>Données de bureaux de crédit commerciaux (Equifax, Dun &amp; Bradstreet) — présence de facilités de crédit ouvertes ailleurs, endettement total vs détenu chez Desjardins</w:t>
      </w:r>
    </w:p>
    <w:p w14:paraId="7070906F" w14:textId="77777777" w:rsidR="00E944AC" w:rsidRDefault="000A0040">
      <w:pPr>
        <w:pStyle w:val="Paragraphedeliste"/>
        <w:numPr>
          <w:ilvl w:val="0"/>
          <w:numId w:val="3"/>
        </w:numPr>
        <w:spacing w:before="40" w:after="40"/>
      </w:pPr>
      <w:r>
        <w:t>Registres publics d'entreprises (Registraire des entreprises du Québec, Corporations Canada) — changements de dirigeants, modifications de structure corporative, signaux de succession</w:t>
      </w:r>
    </w:p>
    <w:p w14:paraId="2961F467" w14:textId="77777777" w:rsidR="00E944AC" w:rsidRDefault="000A0040">
      <w:pPr>
        <w:pStyle w:val="Paragraphedeliste"/>
        <w:numPr>
          <w:ilvl w:val="0"/>
          <w:numId w:val="3"/>
        </w:numPr>
        <w:spacing w:before="40" w:after="40"/>
      </w:pPr>
      <w:r>
        <w:t>Données ouvertes et signaux sectoriels — présence sur plateformes de paiement en ligne (Stripe, PayPal), publicités de recrutement mentionnant des outils financiers spécifiques</w:t>
      </w:r>
    </w:p>
    <w:p w14:paraId="2DE9D37C" w14:textId="77777777" w:rsidR="00E944AC" w:rsidRDefault="000A0040">
      <w:pPr>
        <w:pStyle w:val="Paragraphedeliste"/>
        <w:numPr>
          <w:ilvl w:val="0"/>
          <w:numId w:val="3"/>
        </w:numPr>
        <w:spacing w:before="40" w:after="40"/>
      </w:pPr>
      <w:r>
        <w:t>Données de marchés immobiliers commerciaux — acquisition ou cession d'actifs immobiliers pouvant signaler un financement concurrent</w:t>
      </w:r>
    </w:p>
    <w:p w14:paraId="7E62FB22" w14:textId="77777777" w:rsidR="00E944AC" w:rsidRDefault="00E944A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944AC" w14:paraId="33F4A837" w14:textId="77777777">
        <w:tc>
          <w:tcPr>
            <w:tcW w:w="9360" w:type="dxa"/>
            <w:tcBorders>
              <w:top w:val="single" w:sz="6" w:space="0" w:color="1B4F8A"/>
              <w:left w:val="single" w:sz="12" w:space="0" w:color="1B4F8A"/>
              <w:bottom w:val="single" w:sz="2" w:space="0" w:color="1B4F8A"/>
              <w:right w:val="none" w:sz="0" w:space="0" w:color="FFFFFF"/>
            </w:tcBorders>
            <w:shd w:val="clear" w:color="auto" w:fill="EEF4FB"/>
            <w:tcMar>
              <w:top w:w="120" w:type="dxa"/>
              <w:left w:w="180" w:type="dxa"/>
              <w:bottom w:w="120" w:type="dxa"/>
              <w:right w:w="120" w:type="dxa"/>
            </w:tcMar>
          </w:tcPr>
          <w:p w14:paraId="3649454F" w14:textId="77777777" w:rsidR="00E944AC" w:rsidRDefault="000A0040">
            <w:r>
              <w:rPr>
                <w:i/>
                <w:iCs/>
                <w:color w:val="1B4F8A"/>
                <w:sz w:val="20"/>
                <w:szCs w:val="20"/>
              </w:rPr>
              <w:t>⚠  VALIDATION REQUISE — Conformité &amp; Gouvernance des données : l'utilisation de données comportementales (AccèsD Affaires) et de données de tiers (bureaux de crédit) nécessite une revue formelle au regard de la Loi 25 et des ententes de partage de données. À valider avec les équipes conformité, vie privée et gouvernance des données avant la phase de prototypage.</w:t>
            </w:r>
          </w:p>
        </w:tc>
      </w:tr>
    </w:tbl>
    <w:p w14:paraId="4BE60884" w14:textId="77777777" w:rsidR="00E944AC" w:rsidRDefault="000A0040">
      <w:r>
        <w:br w:type="page"/>
      </w:r>
    </w:p>
    <w:p w14:paraId="52E1952E" w14:textId="77777777" w:rsidR="00E944AC" w:rsidRDefault="000A0040">
      <w:pPr>
        <w:pStyle w:val="Titre1"/>
        <w:pBdr>
          <w:bottom w:val="single" w:sz="8" w:space="4" w:color="00704A"/>
        </w:pBdr>
      </w:pPr>
      <w:r>
        <w:lastRenderedPageBreak/>
        <w:t>5. Périmètre des produits et signaux analytiques</w:t>
      </w:r>
    </w:p>
    <w:p w14:paraId="3324EEC3" w14:textId="77777777" w:rsidR="00E944AC" w:rsidRDefault="000A0040">
      <w:pPr>
        <w:spacing w:before="60" w:after="80"/>
      </w:pPr>
      <w:r>
        <w:t>Le tableau ci-dessous synthétise les 12 catégories de produits couverts, les principaux signaux analytiques disponibles pour inférer la détention concurrente, et les concurrents types à surveiller. Les lignes 11 et 12 correspondent aux produits nouvellement ajoutés au périmètre.</w:t>
      </w:r>
    </w:p>
    <w:p w14:paraId="2AE87BA5" w14:textId="77777777" w:rsidR="00E944AC" w:rsidRDefault="00E944A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1"/>
        <w:gridCol w:w="2183"/>
        <w:gridCol w:w="3520"/>
        <w:gridCol w:w="3256"/>
      </w:tblGrid>
      <w:tr w:rsidR="00E944AC" w14:paraId="39C4CC5F" w14:textId="77777777">
        <w:tc>
          <w:tcPr>
            <w:tcW w:w="300" w:type="dxa"/>
            <w:tcBorders>
              <w:top w:val="single" w:sz="1" w:space="0" w:color="CCCCCC"/>
              <w:left w:val="single" w:sz="1" w:space="0" w:color="CCCCCC"/>
              <w:bottom w:val="single" w:sz="1" w:space="0" w:color="CCCCCC"/>
              <w:right w:val="single" w:sz="1" w:space="0" w:color="CCCCCC"/>
            </w:tcBorders>
            <w:shd w:val="clear" w:color="auto" w:fill="00704A"/>
            <w:tcMar>
              <w:top w:w="80" w:type="dxa"/>
              <w:left w:w="100" w:type="dxa"/>
              <w:bottom w:w="80" w:type="dxa"/>
              <w:right w:w="100" w:type="dxa"/>
            </w:tcMar>
          </w:tcPr>
          <w:p w14:paraId="33DC2363" w14:textId="77777777" w:rsidR="00E944AC" w:rsidRDefault="000A0040">
            <w:r>
              <w:rPr>
                <w:b/>
                <w:bCs/>
                <w:color w:val="FFFFFF"/>
                <w:sz w:val="18"/>
                <w:szCs w:val="18"/>
              </w:rPr>
              <w:t>#</w:t>
            </w:r>
          </w:p>
        </w:tc>
        <w:tc>
          <w:tcPr>
            <w:tcW w:w="2200" w:type="dxa"/>
            <w:tcBorders>
              <w:top w:val="single" w:sz="1" w:space="0" w:color="CCCCCC"/>
              <w:left w:val="single" w:sz="1" w:space="0" w:color="CCCCCC"/>
              <w:bottom w:val="single" w:sz="1" w:space="0" w:color="CCCCCC"/>
              <w:right w:val="single" w:sz="1" w:space="0" w:color="CCCCCC"/>
            </w:tcBorders>
            <w:shd w:val="clear" w:color="auto" w:fill="00704A"/>
            <w:tcMar>
              <w:top w:w="80" w:type="dxa"/>
              <w:left w:w="100" w:type="dxa"/>
              <w:bottom w:w="80" w:type="dxa"/>
              <w:right w:w="100" w:type="dxa"/>
            </w:tcMar>
          </w:tcPr>
          <w:p w14:paraId="1F465A85" w14:textId="77777777" w:rsidR="00E944AC" w:rsidRDefault="000A0040">
            <w:r>
              <w:rPr>
                <w:b/>
                <w:bCs/>
                <w:color w:val="FFFFFF"/>
                <w:sz w:val="18"/>
                <w:szCs w:val="18"/>
              </w:rPr>
              <w:t>Catégorie de produit</w:t>
            </w:r>
          </w:p>
        </w:tc>
        <w:tc>
          <w:tcPr>
            <w:tcW w:w="3560" w:type="dxa"/>
            <w:tcBorders>
              <w:top w:val="single" w:sz="1" w:space="0" w:color="CCCCCC"/>
              <w:left w:val="single" w:sz="1" w:space="0" w:color="CCCCCC"/>
              <w:bottom w:val="single" w:sz="1" w:space="0" w:color="CCCCCC"/>
              <w:right w:val="single" w:sz="1" w:space="0" w:color="CCCCCC"/>
            </w:tcBorders>
            <w:shd w:val="clear" w:color="auto" w:fill="00704A"/>
            <w:tcMar>
              <w:top w:w="80" w:type="dxa"/>
              <w:left w:w="100" w:type="dxa"/>
              <w:bottom w:w="80" w:type="dxa"/>
              <w:right w:w="100" w:type="dxa"/>
            </w:tcMar>
          </w:tcPr>
          <w:p w14:paraId="690B53B7" w14:textId="77777777" w:rsidR="00E944AC" w:rsidRDefault="000A0040">
            <w:r>
              <w:rPr>
                <w:b/>
                <w:bCs/>
                <w:color w:val="FFFFFF"/>
                <w:sz w:val="18"/>
                <w:szCs w:val="18"/>
              </w:rPr>
              <w:t>Signaux / proxies analytiques</w:t>
            </w:r>
          </w:p>
        </w:tc>
        <w:tc>
          <w:tcPr>
            <w:tcW w:w="3300" w:type="dxa"/>
            <w:tcBorders>
              <w:top w:val="single" w:sz="1" w:space="0" w:color="CCCCCC"/>
              <w:left w:val="single" w:sz="1" w:space="0" w:color="CCCCCC"/>
              <w:bottom w:val="single" w:sz="1" w:space="0" w:color="CCCCCC"/>
              <w:right w:val="single" w:sz="1" w:space="0" w:color="CCCCCC"/>
            </w:tcBorders>
            <w:shd w:val="clear" w:color="auto" w:fill="00704A"/>
            <w:tcMar>
              <w:top w:w="80" w:type="dxa"/>
              <w:left w:w="100" w:type="dxa"/>
              <w:bottom w:w="80" w:type="dxa"/>
              <w:right w:w="100" w:type="dxa"/>
            </w:tcMar>
          </w:tcPr>
          <w:p w14:paraId="7297848B" w14:textId="77777777" w:rsidR="00E944AC" w:rsidRDefault="000A0040">
            <w:r>
              <w:rPr>
                <w:b/>
                <w:bCs/>
                <w:color w:val="FFFFFF"/>
                <w:sz w:val="18"/>
                <w:szCs w:val="18"/>
              </w:rPr>
              <w:t>Concurrents types</w:t>
            </w:r>
          </w:p>
        </w:tc>
      </w:tr>
      <w:tr w:rsidR="00E944AC" w14:paraId="142A0523" w14:textId="77777777">
        <w:tc>
          <w:tcPr>
            <w:tcW w:w="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DE1265D" w14:textId="77777777" w:rsidR="00E944AC" w:rsidRDefault="000A0040">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1898D0F" w14:textId="77777777" w:rsidR="00E944AC" w:rsidRDefault="000A0040">
            <w:r>
              <w:rPr>
                <w:b/>
                <w:bCs/>
                <w:sz w:val="18"/>
                <w:szCs w:val="18"/>
              </w:rPr>
              <w:t>Financement long terme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4F55909" w14:textId="77777777" w:rsidR="00E944AC" w:rsidRDefault="000A0040">
            <w:r>
              <w:rPr>
                <w:sz w:val="18"/>
                <w:szCs w:val="18"/>
              </w:rPr>
              <w:t>Ratio prêts Desjardins / estimation besoins sectoriels; crédits bureau hors-Desjardins; débits de remboursement vers autres IFI</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36566EA" w14:textId="77777777" w:rsidR="00E944AC" w:rsidRDefault="000A0040">
            <w:r>
              <w:rPr>
                <w:sz w:val="18"/>
                <w:szCs w:val="18"/>
              </w:rPr>
              <w:t>BMO, TD, BNC, Financement agricole Canada</w:t>
            </w:r>
          </w:p>
        </w:tc>
      </w:tr>
      <w:tr w:rsidR="00E944AC" w14:paraId="7F9865EC" w14:textId="77777777">
        <w:tc>
          <w:tcPr>
            <w:tcW w:w="3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2B13D95F" w14:textId="77777777" w:rsidR="00E944AC" w:rsidRDefault="000A0040">
            <w:r>
              <w:rPr>
                <w:sz w:val="18"/>
                <w:szCs w:val="18"/>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3386DA31" w14:textId="77777777" w:rsidR="00E944AC" w:rsidRDefault="000A0040">
            <w:r>
              <w:rPr>
                <w:b/>
                <w:bCs/>
                <w:sz w:val="18"/>
                <w:szCs w:val="18"/>
              </w:rPr>
              <w:t>Marges de crédit</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576D6AFB" w14:textId="77777777" w:rsidR="00E944AC" w:rsidRDefault="000A0040">
            <w:r>
              <w:rPr>
                <w:sz w:val="18"/>
                <w:szCs w:val="18"/>
              </w:rPr>
              <w:t>Utilisation faible ou nulle des facilités Desjardins; débits réguliers vers autres IFI; volatilité de trésorerie non couverte</w:t>
            </w:r>
          </w:p>
        </w:tc>
        <w:tc>
          <w:tcPr>
            <w:tcW w:w="33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1BAE0F94" w14:textId="77777777" w:rsidR="00E944AC" w:rsidRDefault="000A0040">
            <w:r>
              <w:rPr>
                <w:sz w:val="18"/>
                <w:szCs w:val="18"/>
              </w:rPr>
              <w:t>RBC, Scotia, BNC, Flinks, Clearco</w:t>
            </w:r>
          </w:p>
        </w:tc>
      </w:tr>
      <w:tr w:rsidR="00E944AC" w14:paraId="2041C8BB" w14:textId="77777777">
        <w:tc>
          <w:tcPr>
            <w:tcW w:w="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48B01AD" w14:textId="77777777" w:rsidR="00E944AC" w:rsidRDefault="000A0040">
            <w:r>
              <w:rPr>
                <w:sz w:val="18"/>
                <w:szCs w:val="18"/>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3CC15E7" w14:textId="77777777" w:rsidR="00E944AC" w:rsidRDefault="000A0040">
            <w:r>
              <w:rPr>
                <w:b/>
                <w:bCs/>
                <w:sz w:val="18"/>
                <w:szCs w:val="18"/>
              </w:rPr>
              <w:t>Cartes de crédit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7710068" w14:textId="77777777" w:rsidR="00E944AC" w:rsidRDefault="000A0040">
            <w:r>
              <w:rPr>
                <w:sz w:val="18"/>
                <w:szCs w:val="18"/>
              </w:rPr>
              <w:t>Absence de débit mensuel Desjardins Visa/MC; transactions aux marchands typiques d'une carte corp. concurrente</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529662F" w14:textId="77777777" w:rsidR="00E944AC" w:rsidRDefault="000A0040">
            <w:r>
              <w:rPr>
                <w:sz w:val="18"/>
                <w:szCs w:val="18"/>
              </w:rPr>
              <w:t>RBC Avion, TD Business, Amex, Capital One</w:t>
            </w:r>
          </w:p>
        </w:tc>
      </w:tr>
      <w:tr w:rsidR="00E944AC" w14:paraId="74F48B4F" w14:textId="77777777">
        <w:tc>
          <w:tcPr>
            <w:tcW w:w="3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16BE757E" w14:textId="77777777" w:rsidR="00E944AC" w:rsidRDefault="000A0040">
            <w:r>
              <w:rPr>
                <w:sz w:val="18"/>
                <w:szCs w:val="18"/>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23AE2829" w14:textId="77777777" w:rsidR="00E944AC" w:rsidRDefault="000A0040">
            <w:r>
              <w:rPr>
                <w:b/>
                <w:bCs/>
                <w:sz w:val="18"/>
                <w:szCs w:val="18"/>
              </w:rPr>
              <w:t>Services de paie</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6B476803" w14:textId="77777777" w:rsidR="00E944AC" w:rsidRDefault="000A0040">
            <w:r>
              <w:rPr>
                <w:sz w:val="18"/>
                <w:szCs w:val="18"/>
              </w:rPr>
              <w:t>Fichiers ACH non issus de Desjardins Paie; paiements récurrents à Nethris, ADP, Payworks, Employeur D</w:t>
            </w:r>
          </w:p>
        </w:tc>
        <w:tc>
          <w:tcPr>
            <w:tcW w:w="33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2D6E20FE" w14:textId="77777777" w:rsidR="00E944AC" w:rsidRDefault="000A0040">
            <w:r>
              <w:rPr>
                <w:sz w:val="18"/>
                <w:szCs w:val="18"/>
              </w:rPr>
              <w:t>ADP, Nethris, Payworks, Ceridian, Employeur D</w:t>
            </w:r>
          </w:p>
        </w:tc>
      </w:tr>
      <w:tr w:rsidR="00E944AC" w14:paraId="02DFECC4" w14:textId="77777777">
        <w:tc>
          <w:tcPr>
            <w:tcW w:w="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4914A23" w14:textId="77777777" w:rsidR="00E944AC" w:rsidRDefault="000A0040">
            <w:r>
              <w:rPr>
                <w:sz w:val="18"/>
                <w:szCs w:val="18"/>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4D6050B" w14:textId="77777777" w:rsidR="00E944AC" w:rsidRDefault="000A0040">
            <w:r>
              <w:rPr>
                <w:b/>
                <w:bCs/>
                <w:sz w:val="18"/>
                <w:szCs w:val="18"/>
              </w:rPr>
              <w:t>Plateforme gestion (AccèsD Affaires)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18C5928" w14:textId="77777777" w:rsidR="00E944AC" w:rsidRDefault="000A0040">
            <w:r>
              <w:rPr>
                <w:sz w:val="18"/>
                <w:szCs w:val="18"/>
              </w:rPr>
              <w:t>Faible fréquence de connexion; non-utilisation des modules avancés; présence de tokens OAuth tiers</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045050F" w14:textId="77777777" w:rsidR="00E944AC" w:rsidRDefault="000A0040">
            <w:r>
              <w:rPr>
                <w:sz w:val="18"/>
                <w:szCs w:val="18"/>
              </w:rPr>
              <w:t>FCC, BMO ligne PME, QuickBooks Banking</w:t>
            </w:r>
          </w:p>
        </w:tc>
      </w:tr>
      <w:tr w:rsidR="00E944AC" w14:paraId="12A1CFDD" w14:textId="77777777">
        <w:tc>
          <w:tcPr>
            <w:tcW w:w="3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638AC649" w14:textId="77777777" w:rsidR="00E944AC" w:rsidRDefault="000A0040">
            <w:r>
              <w:rPr>
                <w:sz w:val="18"/>
                <w:szCs w:val="18"/>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5DE5C95E" w14:textId="77777777" w:rsidR="00E944AC" w:rsidRDefault="000A0040">
            <w:r>
              <w:rPr>
                <w:b/>
                <w:bCs/>
                <w:sz w:val="18"/>
                <w:szCs w:val="18"/>
              </w:rPr>
              <w:t>Services internationaux</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536B0CBD" w14:textId="77777777" w:rsidR="00E944AC" w:rsidRDefault="000A0040">
            <w:r>
              <w:rPr>
                <w:sz w:val="18"/>
                <w:szCs w:val="18"/>
              </w:rPr>
              <w:t>Virements SWIFT vers devises étrangères faibles ou absents; présence de débits Wise/OFX/Western Union</w:t>
            </w:r>
          </w:p>
        </w:tc>
        <w:tc>
          <w:tcPr>
            <w:tcW w:w="33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4CD49696" w14:textId="77777777" w:rsidR="00E944AC" w:rsidRDefault="000A0040">
            <w:r>
              <w:rPr>
                <w:sz w:val="18"/>
                <w:szCs w:val="18"/>
              </w:rPr>
              <w:t>Wise, OFX, HSBC, BNC Marchés mondiaux</w:t>
            </w:r>
          </w:p>
        </w:tc>
      </w:tr>
      <w:tr w:rsidR="00E944AC" w14:paraId="293979C9" w14:textId="77777777">
        <w:tc>
          <w:tcPr>
            <w:tcW w:w="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4AFFCD1" w14:textId="77777777" w:rsidR="00E944AC" w:rsidRDefault="000A0040">
            <w:r>
              <w:rPr>
                <w:sz w:val="18"/>
                <w:szCs w:val="18"/>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E82CC38" w14:textId="77777777" w:rsidR="00E944AC" w:rsidRDefault="000A0040">
            <w:r>
              <w:rPr>
                <w:b/>
                <w:bCs/>
                <w:sz w:val="18"/>
                <w:szCs w:val="18"/>
              </w:rPr>
              <w:t>Épargne et dépôts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AE16893" w14:textId="77777777" w:rsidR="00E944AC" w:rsidRDefault="000A0040">
            <w:r>
              <w:rPr>
                <w:sz w:val="18"/>
                <w:szCs w:val="18"/>
              </w:rPr>
              <w:t>Soldes anormalement bas vs activité; flux sortants réguliers vers autres IFI; épargne à terme hors-Desjardins (bureau de crédit)</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47575EB" w14:textId="77777777" w:rsidR="00E944AC" w:rsidRDefault="000A0040">
            <w:r>
              <w:rPr>
                <w:sz w:val="18"/>
                <w:szCs w:val="18"/>
              </w:rPr>
              <w:t>TD, RBC, EQ Bank, Oaken Financial</w:t>
            </w:r>
          </w:p>
        </w:tc>
      </w:tr>
      <w:tr w:rsidR="00E944AC" w14:paraId="33888551" w14:textId="77777777">
        <w:tc>
          <w:tcPr>
            <w:tcW w:w="3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1D01DD74" w14:textId="77777777" w:rsidR="00E944AC" w:rsidRDefault="000A0040">
            <w:r>
              <w:rPr>
                <w:sz w:val="18"/>
                <w:szCs w:val="18"/>
              </w:rPr>
              <w:t>8</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6B995EEA" w14:textId="77777777" w:rsidR="00E944AC" w:rsidRDefault="000A0040">
            <w:r>
              <w:rPr>
                <w:b/>
                <w:bCs/>
                <w:sz w:val="18"/>
                <w:szCs w:val="18"/>
              </w:rPr>
              <w:t>Produits de placement</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75DB248D" w14:textId="77777777" w:rsidR="00E944AC" w:rsidRDefault="000A0040">
            <w:r>
              <w:rPr>
                <w:sz w:val="18"/>
                <w:szCs w:val="18"/>
              </w:rPr>
              <w:t>Actifs sous gestion Desjardins faibles vs patrimoine estimé; transactions vers courtiers en valeurs mobilières externes</w:t>
            </w:r>
          </w:p>
        </w:tc>
        <w:tc>
          <w:tcPr>
            <w:tcW w:w="33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731624A3" w14:textId="77777777" w:rsidR="00E944AC" w:rsidRDefault="000A0040">
            <w:r>
              <w:rPr>
                <w:sz w:val="18"/>
                <w:szCs w:val="18"/>
              </w:rPr>
              <w:t>IG Gestion, Fidelity, Manuvie, Mercer</w:t>
            </w:r>
          </w:p>
        </w:tc>
      </w:tr>
      <w:tr w:rsidR="00E944AC" w14:paraId="2EE6C792" w14:textId="77777777">
        <w:tc>
          <w:tcPr>
            <w:tcW w:w="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76F30E5" w14:textId="77777777" w:rsidR="00E944AC" w:rsidRDefault="000A0040">
            <w:r>
              <w:rPr>
                <w:sz w:val="18"/>
                <w:szCs w:val="18"/>
              </w:rPr>
              <w:t>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FB38B13" w14:textId="77777777" w:rsidR="00E944AC" w:rsidRDefault="000A0040">
            <w:r>
              <w:rPr>
                <w:b/>
                <w:bCs/>
                <w:sz w:val="18"/>
                <w:szCs w:val="18"/>
              </w:rPr>
              <w:t>Assurance dommages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5EB0F20" w14:textId="77777777" w:rsidR="00E944AC" w:rsidRDefault="000A0040">
            <w:r>
              <w:rPr>
                <w:sz w:val="18"/>
                <w:szCs w:val="18"/>
              </w:rPr>
              <w:t>Absence de police Desjardins; paiements récurrents à Intact, Aviva, Northbridge, Co-operators</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5B01371" w14:textId="77777777" w:rsidR="00E944AC" w:rsidRDefault="000A0040">
            <w:r>
              <w:rPr>
                <w:sz w:val="18"/>
                <w:szCs w:val="18"/>
              </w:rPr>
              <w:t>Intact, Aviva, Northbridge, RSA, Zurich</w:t>
            </w:r>
          </w:p>
        </w:tc>
      </w:tr>
      <w:tr w:rsidR="00E944AC" w14:paraId="014AD186" w14:textId="77777777">
        <w:tc>
          <w:tcPr>
            <w:tcW w:w="3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6682E6A2" w14:textId="77777777" w:rsidR="00E944AC" w:rsidRDefault="000A0040">
            <w:r>
              <w:rPr>
                <w:sz w:val="18"/>
                <w:szCs w:val="18"/>
              </w:rPr>
              <w:t>10</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46D6B057" w14:textId="77777777" w:rsidR="00E944AC" w:rsidRDefault="000A0040">
            <w:r>
              <w:rPr>
                <w:b/>
                <w:bCs/>
                <w:sz w:val="18"/>
                <w:szCs w:val="18"/>
              </w:rPr>
              <w:t>Assurance resp. civile</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3537CB21" w14:textId="77777777" w:rsidR="00E944AC" w:rsidRDefault="000A0040">
            <w:r>
              <w:rPr>
                <w:sz w:val="18"/>
                <w:szCs w:val="18"/>
              </w:rPr>
              <w:t>Absence de protection Desjardins; paiements à assureurs commerciaux concurrents</w:t>
            </w:r>
          </w:p>
        </w:tc>
        <w:tc>
          <w:tcPr>
            <w:tcW w:w="33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38787C71" w14:textId="77777777" w:rsidR="00E944AC" w:rsidRDefault="000A0040">
            <w:r>
              <w:rPr>
                <w:sz w:val="18"/>
                <w:szCs w:val="18"/>
              </w:rPr>
              <w:t>Intact, AXA, Chubb, Beazley</w:t>
            </w:r>
          </w:p>
        </w:tc>
      </w:tr>
      <w:tr w:rsidR="00E944AC" w14:paraId="00314304" w14:textId="77777777">
        <w:tc>
          <w:tcPr>
            <w:tcW w:w="3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00" w:type="dxa"/>
              <w:bottom w:w="70" w:type="dxa"/>
              <w:right w:w="100" w:type="dxa"/>
            </w:tcMar>
          </w:tcPr>
          <w:p w14:paraId="2E54A652" w14:textId="77777777" w:rsidR="00E944AC" w:rsidRDefault="000A0040">
            <w:r>
              <w:rPr>
                <w:sz w:val="18"/>
                <w:szCs w:val="18"/>
              </w:rPr>
              <w:t>11 ✦</w:t>
            </w:r>
          </w:p>
        </w:tc>
        <w:tc>
          <w:tcPr>
            <w:tcW w:w="2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00" w:type="dxa"/>
              <w:bottom w:w="70" w:type="dxa"/>
              <w:right w:w="100" w:type="dxa"/>
            </w:tcMar>
          </w:tcPr>
          <w:p w14:paraId="007D6AD1" w14:textId="77777777" w:rsidR="00E944AC" w:rsidRDefault="000A0040">
            <w:r>
              <w:rPr>
                <w:b/>
                <w:bCs/>
                <w:sz w:val="18"/>
                <w:szCs w:val="18"/>
              </w:rPr>
              <w:t>Transfert d'entreprises</w:t>
            </w:r>
          </w:p>
        </w:tc>
        <w:tc>
          <w:tcPr>
            <w:tcW w:w="356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00" w:type="dxa"/>
              <w:bottom w:w="70" w:type="dxa"/>
              <w:right w:w="100" w:type="dxa"/>
            </w:tcMar>
          </w:tcPr>
          <w:p w14:paraId="6677766E" w14:textId="77777777" w:rsidR="00E944AC" w:rsidRDefault="000A0040">
            <w:r>
              <w:rPr>
                <w:sz w:val="18"/>
                <w:szCs w:val="18"/>
              </w:rPr>
              <w:t>Âge dirigeant ≥ 55 ans; ancienneté entreprise &gt; 20 ans; modification statutaire récente; transactions vers cabinets CPA/notaires spécialisés; absence de plan de relève Desjardins Gestion de patrimoine</w:t>
            </w:r>
          </w:p>
        </w:tc>
        <w:tc>
          <w:tcPr>
            <w:tcW w:w="33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00" w:type="dxa"/>
              <w:bottom w:w="70" w:type="dxa"/>
              <w:right w:w="100" w:type="dxa"/>
            </w:tcMar>
          </w:tcPr>
          <w:p w14:paraId="10073963" w14:textId="77777777" w:rsidR="00E944AC" w:rsidRDefault="000A0040">
            <w:r>
              <w:rPr>
                <w:sz w:val="18"/>
                <w:szCs w:val="18"/>
              </w:rPr>
              <w:t>Richter, RCGT, KPMG Corp Finance, BDC Capital</w:t>
            </w:r>
          </w:p>
        </w:tc>
      </w:tr>
      <w:tr w:rsidR="00E944AC" w14:paraId="4BC91BEB" w14:textId="77777777">
        <w:tc>
          <w:tcPr>
            <w:tcW w:w="3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00" w:type="dxa"/>
              <w:bottom w:w="70" w:type="dxa"/>
              <w:right w:w="100" w:type="dxa"/>
            </w:tcMar>
          </w:tcPr>
          <w:p w14:paraId="7CE49ED5" w14:textId="77777777" w:rsidR="00E944AC" w:rsidRDefault="000A0040">
            <w:r>
              <w:rPr>
                <w:sz w:val="18"/>
                <w:szCs w:val="18"/>
              </w:rPr>
              <w:t>12 ✦</w:t>
            </w:r>
          </w:p>
        </w:tc>
        <w:tc>
          <w:tcPr>
            <w:tcW w:w="2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00" w:type="dxa"/>
              <w:bottom w:w="70" w:type="dxa"/>
              <w:right w:w="100" w:type="dxa"/>
            </w:tcMar>
          </w:tcPr>
          <w:p w14:paraId="69AE3BED" w14:textId="77777777" w:rsidR="00E944AC" w:rsidRDefault="000A0040">
            <w:r>
              <w:rPr>
                <w:b/>
                <w:bCs/>
                <w:sz w:val="18"/>
                <w:szCs w:val="18"/>
              </w:rPr>
              <w:t>Global Payment / Paiement marchand</w:t>
            </w:r>
          </w:p>
        </w:tc>
        <w:tc>
          <w:tcPr>
            <w:tcW w:w="356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00" w:type="dxa"/>
              <w:bottom w:w="70" w:type="dxa"/>
              <w:right w:w="100" w:type="dxa"/>
            </w:tcMar>
          </w:tcPr>
          <w:p w14:paraId="5C3DE690" w14:textId="77777777" w:rsidR="00E944AC" w:rsidRDefault="000A0040">
            <w:r>
              <w:rPr>
                <w:sz w:val="18"/>
                <w:szCs w:val="18"/>
              </w:rPr>
              <w:t>Absence ou faible volume de terminaux Desjardins actifs; flux de règlement vers Moneris, Square, Stripe, Chase; débits d'abonnement à plateformes e-commerce tierces</w:t>
            </w:r>
          </w:p>
        </w:tc>
        <w:tc>
          <w:tcPr>
            <w:tcW w:w="33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00" w:type="dxa"/>
              <w:bottom w:w="70" w:type="dxa"/>
              <w:right w:w="100" w:type="dxa"/>
            </w:tcMar>
          </w:tcPr>
          <w:p w14:paraId="4DC2F8A1" w14:textId="77777777" w:rsidR="00E944AC" w:rsidRDefault="000A0040">
            <w:r>
              <w:rPr>
                <w:sz w:val="18"/>
                <w:szCs w:val="18"/>
              </w:rPr>
              <w:t>Moneris, Square, Stripe Terminal, TD Merchant Solutions</w:t>
            </w:r>
          </w:p>
        </w:tc>
      </w:tr>
    </w:tbl>
    <w:p w14:paraId="7D40E1A1" w14:textId="77777777" w:rsidR="00E944AC" w:rsidRDefault="00E944AC">
      <w:pPr>
        <w:spacing w:after="80"/>
      </w:pPr>
    </w:p>
    <w:p w14:paraId="3D1CE6D5" w14:textId="77777777" w:rsidR="00E944AC" w:rsidRDefault="000A0040">
      <w:pPr>
        <w:spacing w:before="60" w:after="80"/>
      </w:pPr>
      <w:r>
        <w:rPr>
          <w:i/>
          <w:iCs/>
          <w:color w:val="555555"/>
        </w:rPr>
        <w:t>✦ Produits à défis analytiques spécifiques — voir section 6.4 pour le traitement particulier.</w:t>
      </w:r>
    </w:p>
    <w:p w14:paraId="18D05146" w14:textId="77777777" w:rsidR="00E944AC" w:rsidRDefault="000A0040">
      <w:r>
        <w:lastRenderedPageBreak/>
        <w:br w:type="page"/>
      </w:r>
    </w:p>
    <w:p w14:paraId="0ACAA062" w14:textId="77777777" w:rsidR="00E944AC" w:rsidRDefault="000A0040">
      <w:pPr>
        <w:pStyle w:val="Titre1"/>
        <w:pBdr>
          <w:bottom w:val="single" w:sz="8" w:space="4" w:color="00704A"/>
        </w:pBdr>
      </w:pPr>
      <w:r>
        <w:lastRenderedPageBreak/>
        <w:t>6. Approche analytique proposée</w:t>
      </w:r>
    </w:p>
    <w:p w14:paraId="1A777AB0" w14:textId="77777777" w:rsidR="00E944AC" w:rsidRDefault="000A0040">
      <w:pPr>
        <w:pStyle w:val="Titre2"/>
      </w:pPr>
      <w:r>
        <w:t>6.1 Architecture de modélisation</w:t>
      </w:r>
    </w:p>
    <w:p w14:paraId="74AA766B" w14:textId="77777777" w:rsidR="00E944AC" w:rsidRDefault="000A0040">
      <w:pPr>
        <w:spacing w:before="60" w:after="80"/>
      </w:pPr>
      <w:r>
        <w:t>Compte tenu de la nature de la variable cible — non directement observable dans les données Desjardins — l'approche recommandée est une architecture de modélisation en deux niveaux :</w:t>
      </w:r>
    </w:p>
    <w:p w14:paraId="4A8DE7D3" w14:textId="77777777" w:rsidR="00E944AC" w:rsidRDefault="000A0040">
      <w:pPr>
        <w:pStyle w:val="Paragraphedeliste"/>
        <w:numPr>
          <w:ilvl w:val="0"/>
          <w:numId w:val="3"/>
        </w:numPr>
        <w:spacing w:before="40" w:after="40"/>
      </w:pPr>
      <w:r>
        <w:t>Niveau 1 — Modèles de propension par catégorie de produit : pour chacune des 12 catégories, un modèle de classification binaire (gradient boosting : XGBoost ou LightGBM) estimera la probabilité qu'un membre détienne le produit chez un concurrent. Ces modèles seront entraînés sur des labels construits par triangulation (voir section 6.3).</w:t>
      </w:r>
    </w:p>
    <w:p w14:paraId="4103545B" w14:textId="77777777" w:rsidR="00E944AC" w:rsidRDefault="000A0040">
      <w:pPr>
        <w:pStyle w:val="Paragraphedeliste"/>
        <w:numPr>
          <w:ilvl w:val="0"/>
          <w:numId w:val="3"/>
        </w:numPr>
        <w:spacing w:before="40" w:after="40"/>
      </w:pPr>
      <w:r>
        <w:t>Niveau 2 — Score agrégé de risque concurrent : un score global synthétisant les 12 propensions individuelles, pondéré par la valeur stratégique de chaque catégorie de produit et la confiance du modèle. Ce score alimentera la priorisation CRM.</w:t>
      </w:r>
    </w:p>
    <w:p w14:paraId="37C80492" w14:textId="77777777" w:rsidR="00E944AC" w:rsidRDefault="000A0040">
      <w:pPr>
        <w:pStyle w:val="Titre2"/>
      </w:pPr>
      <w:r>
        <w:t>6.2 Features clés par famille de produit</w:t>
      </w:r>
    </w:p>
    <w:p w14:paraId="0F6422E5" w14:textId="77777777" w:rsidR="00E944AC" w:rsidRDefault="000A0040">
      <w:pPr>
        <w:pStyle w:val="Paragraphedeliste"/>
        <w:numPr>
          <w:ilvl w:val="0"/>
          <w:numId w:val="3"/>
        </w:numPr>
        <w:spacing w:before="40" w:after="40"/>
      </w:pPr>
      <w:r>
        <w:t>Financement : ratio dette Desjardins / taille estimée bilan, ancienneté relation crédit, fréquence des renouvellements, délais de traitement historiques</w:t>
      </w:r>
    </w:p>
    <w:p w14:paraId="0F9B541B" w14:textId="77777777" w:rsidR="00E944AC" w:rsidRDefault="000A0040">
      <w:pPr>
        <w:pStyle w:val="Paragraphedeliste"/>
        <w:numPr>
          <w:ilvl w:val="0"/>
          <w:numId w:val="3"/>
        </w:numPr>
        <w:spacing w:before="40" w:after="40"/>
      </w:pPr>
      <w:r>
        <w:t>Transactionnel (paiement, paie) : analyse des libellés de transactions (NLP sur descriptions des contreparties), fréquence et montant des débits vers fournisseurs connus, volatilité des flux de trésorerie</w:t>
      </w:r>
    </w:p>
    <w:p w14:paraId="54F64A07" w14:textId="77777777" w:rsidR="00E944AC" w:rsidRDefault="000A0040">
      <w:pPr>
        <w:pStyle w:val="Paragraphedeliste"/>
        <w:numPr>
          <w:ilvl w:val="0"/>
          <w:numId w:val="3"/>
        </w:numPr>
        <w:spacing w:before="40" w:after="40"/>
      </w:pPr>
      <w:r>
        <w:t>Épargne/placement : ratio dépôts Desjardins / chiffre d'affaires estimé, comparaison avec pair sectoriel, évolution des soldes sur 24 mois</w:t>
      </w:r>
    </w:p>
    <w:p w14:paraId="0782CD8E" w14:textId="77777777" w:rsidR="00E944AC" w:rsidRDefault="000A0040">
      <w:pPr>
        <w:pStyle w:val="Paragraphedeliste"/>
        <w:numPr>
          <w:ilvl w:val="0"/>
          <w:numId w:val="3"/>
        </w:numPr>
        <w:spacing w:before="40" w:after="40"/>
      </w:pPr>
      <w:r>
        <w:t>Assurance : présence ou absence de prélèvement vers assureurs concurrents (liste de marchands)</w:t>
      </w:r>
    </w:p>
    <w:p w14:paraId="4014805A" w14:textId="77777777" w:rsidR="00E944AC" w:rsidRDefault="000A0040">
      <w:pPr>
        <w:pStyle w:val="Paragraphedeliste"/>
        <w:numPr>
          <w:ilvl w:val="0"/>
          <w:numId w:val="3"/>
        </w:numPr>
        <w:spacing w:before="40" w:after="40"/>
      </w:pPr>
      <w:r>
        <w:t>Transfert d'entreprises : âge du dirigeant principal, ancienneté de l'entreprise, structure actionnariale, présence d'un plan de relève documenté dans le CRM</w:t>
      </w:r>
    </w:p>
    <w:p w14:paraId="6D8CC646" w14:textId="77777777" w:rsidR="00E944AC" w:rsidRDefault="000A0040">
      <w:pPr>
        <w:pStyle w:val="Paragraphedeliste"/>
        <w:numPr>
          <w:ilvl w:val="0"/>
          <w:numId w:val="3"/>
        </w:numPr>
        <w:spacing w:before="40" w:after="40"/>
      </w:pPr>
      <w:r>
        <w:t>Global Payment : volume mensuel de transactions par terminal Desjardins, ratio volume/secteur NAICS, présence de flux Stripe/Square/Moneris dans les débits</w:t>
      </w:r>
    </w:p>
    <w:p w14:paraId="4C9F5381" w14:textId="77777777" w:rsidR="00E944AC" w:rsidRDefault="000A0040">
      <w:pPr>
        <w:pStyle w:val="Titre2"/>
      </w:pPr>
      <w:r>
        <w:t>6.3 Stratégie de labellisation</w:t>
      </w:r>
    </w:p>
    <w:p w14:paraId="1753613E" w14:textId="77777777" w:rsidR="00E944AC" w:rsidRDefault="000A0040">
      <w:pPr>
        <w:spacing w:before="60" w:after="80"/>
      </w:pPr>
      <w:r>
        <w:t>La variable cible (détention d'un produit concurrent) n'étant pas directement observable, trois approches de labellisation seront combinées :</w:t>
      </w:r>
    </w:p>
    <w:p w14:paraId="74C65825" w14:textId="77777777" w:rsidR="00E944AC" w:rsidRDefault="000A0040">
      <w:pPr>
        <w:pStyle w:val="Paragraphedeliste"/>
        <w:numPr>
          <w:ilvl w:val="0"/>
          <w:numId w:val="2"/>
        </w:numPr>
        <w:spacing w:before="40" w:after="40"/>
      </w:pPr>
      <w:r>
        <w:t>Labels positifs confirmés : membres pour lesquels le CRM contient une mention explicite d'un produit concurrent, ou pour lesquels un conseiller a documenté une relation concurrente lors d'une révision annuelle.</w:t>
      </w:r>
    </w:p>
    <w:p w14:paraId="78306E5C" w14:textId="77777777" w:rsidR="00E944AC" w:rsidRDefault="000A0040">
      <w:pPr>
        <w:pStyle w:val="Paragraphedeliste"/>
        <w:numPr>
          <w:ilvl w:val="0"/>
          <w:numId w:val="2"/>
        </w:numPr>
        <w:spacing w:before="40" w:after="40"/>
      </w:pPr>
      <w:r>
        <w:t>Labels construits par signal fort : membres présentant des paiements récurrents vers des concurrents identifiés dans la liste de marchands référencée (ex. : paiement mensuel à Moneris = label positif pour Global Payment).</w:t>
      </w:r>
    </w:p>
    <w:p w14:paraId="7506C76A" w14:textId="77777777" w:rsidR="00E944AC" w:rsidRDefault="000A0040">
      <w:pPr>
        <w:pStyle w:val="Paragraphedeliste"/>
        <w:numPr>
          <w:ilvl w:val="0"/>
          <w:numId w:val="2"/>
        </w:numPr>
        <w:spacing w:before="40" w:after="40"/>
      </w:pPr>
      <w:r>
        <w:t>Labels négatifs par absence combinée : membres ne présentant aucun signal indirect et utilisant l'ensemble de la gamme Desjardins sur une catégorie donnée.</w:t>
      </w:r>
    </w:p>
    <w:p w14:paraId="201D216D" w14:textId="77777777" w:rsidR="00E944AC" w:rsidRDefault="000A0040">
      <w:pPr>
        <w:spacing w:before="60" w:after="80"/>
      </w:pPr>
      <w:r>
        <w:t>Une phase de validation humaine (annotation d'un échantillon par des conseillers expérimentés) sera prévue en phase prototype pour évaluer la qualité des labels construits.</w:t>
      </w:r>
    </w:p>
    <w:p w14:paraId="18980613" w14:textId="77777777" w:rsidR="00E944AC" w:rsidRDefault="000A0040">
      <w:pPr>
        <w:pStyle w:val="Titre2"/>
      </w:pPr>
      <w:r>
        <w:t>6.4 Défis spécifiques aux produits 11 et 12</w:t>
      </w:r>
    </w:p>
    <w:p w14:paraId="1B2DD894" w14:textId="77777777" w:rsidR="00E944AC" w:rsidRDefault="000A0040">
      <w:pPr>
        <w:spacing w:before="200" w:after="80"/>
      </w:pPr>
      <w:r>
        <w:rPr>
          <w:b/>
          <w:bCs/>
          <w:color w:val="1A3C34"/>
        </w:rPr>
        <w:t>Transfert d'entreprises (produit 11)</w:t>
      </w:r>
    </w:p>
    <w:p w14:paraId="48DA58CB" w14:textId="77777777" w:rsidR="00E944AC" w:rsidRDefault="000A0040">
      <w:pPr>
        <w:spacing w:before="60" w:after="80"/>
      </w:pPr>
      <w:r>
        <w:t>Le transfert d'entreprises est un événement rare (faible prévalence dans la population, estimé à 2-5 % par an), s'étalant sur une durée longue (12 à 48 mois). La modélisation recommandée combine :</w:t>
      </w:r>
    </w:p>
    <w:p w14:paraId="7B8D31F8" w14:textId="77777777" w:rsidR="00E944AC" w:rsidRDefault="000A0040">
      <w:pPr>
        <w:pStyle w:val="Paragraphedeliste"/>
        <w:numPr>
          <w:ilvl w:val="0"/>
          <w:numId w:val="3"/>
        </w:numPr>
        <w:spacing w:before="40" w:after="40"/>
      </w:pPr>
      <w:r>
        <w:lastRenderedPageBreak/>
        <w:t>Un modèle de survie (Cox proportional hazard ou AFT) pour estimer la probabilité d'initiation d'un processus de transfert dans les 12 à 36 prochains mois</w:t>
      </w:r>
    </w:p>
    <w:p w14:paraId="72C2E935" w14:textId="77777777" w:rsidR="00E944AC" w:rsidRDefault="000A0040">
      <w:pPr>
        <w:pStyle w:val="Paragraphedeliste"/>
        <w:numPr>
          <w:ilvl w:val="0"/>
          <w:numId w:val="3"/>
        </w:numPr>
        <w:spacing w:before="40" w:after="40"/>
      </w:pPr>
      <w:r>
        <w:t>Un modèle de propension classique pour détecter si le processus en cours est géré avec un acteur concurrent vs Desjardins Gestion de patrimoine</w:t>
      </w:r>
    </w:p>
    <w:p w14:paraId="3A7988AC" w14:textId="77777777" w:rsidR="00E944AC" w:rsidRDefault="000A0040">
      <w:pPr>
        <w:pStyle w:val="Paragraphedeliste"/>
        <w:numPr>
          <w:ilvl w:val="0"/>
          <w:numId w:val="3"/>
        </w:numPr>
        <w:spacing w:before="40" w:after="40"/>
      </w:pPr>
      <w:r>
        <w:t>Features prioritaires : âge du dirigeant principal (≥ 55 ans comme seuil critique), ancienneté de l'entreprise, absence de successeur identifié au CRM, modifications au registre des entreprises (changements d'actionnariat), transactions vers des études de notaires ou cabinets CPA spécialisés en relève</w:t>
      </w:r>
    </w:p>
    <w:p w14:paraId="637CF00B" w14:textId="77777777" w:rsidR="00E944AC" w:rsidRDefault="000A0040">
      <w:pPr>
        <w:spacing w:before="200" w:after="80"/>
      </w:pPr>
      <w:r>
        <w:rPr>
          <w:b/>
          <w:bCs/>
          <w:color w:val="1A3C34"/>
        </w:rPr>
        <w:t>Global Payment / Solutions de paiement marchand (produit 12)</w:t>
      </w:r>
    </w:p>
    <w:p w14:paraId="4B11D3BA" w14:textId="77777777" w:rsidR="00E944AC" w:rsidRDefault="000A0040">
      <w:pPr>
        <w:spacing w:before="60" w:after="80"/>
      </w:pPr>
      <w:r>
        <w:t>Ce produit est au contraire très observable via les données transactionnelles si les données de règlement sont disponibles. L'approche recommandée est :</w:t>
      </w:r>
    </w:p>
    <w:p w14:paraId="05F45879" w14:textId="77777777" w:rsidR="00E944AC" w:rsidRDefault="000A0040">
      <w:pPr>
        <w:pStyle w:val="Paragraphedeliste"/>
        <w:numPr>
          <w:ilvl w:val="0"/>
          <w:numId w:val="3"/>
        </w:numPr>
        <w:spacing w:before="40" w:after="40"/>
      </w:pPr>
      <w:r>
        <w:t>Détection directe : analyse des flux de règlement entrants pour identifier la présence de dépôts nets provenant de Moneris, Square, Stripe, ou Chase — une trace directe de la détention du produit concurrent</w:t>
      </w:r>
    </w:p>
    <w:p w14:paraId="09F2BB87" w14:textId="77777777" w:rsidR="00E944AC" w:rsidRDefault="000A0040">
      <w:pPr>
        <w:pStyle w:val="Paragraphedeliste"/>
        <w:numPr>
          <w:ilvl w:val="0"/>
          <w:numId w:val="3"/>
        </w:numPr>
        <w:spacing w:before="40" w:after="40"/>
      </w:pPr>
      <w:r>
        <w:t>Si les données de règlement ne sont pas disponibles au niveau du libellé : modèle de détection d'anomalie sur le ratio volume de paiements reçus par carte / volume de transactions aux terminaux Desjardins actifs du membre</w:t>
      </w:r>
    </w:p>
    <w:p w14:paraId="4010EBE8" w14:textId="77777777" w:rsidR="00E944AC" w:rsidRDefault="000A0040">
      <w:pPr>
        <w:pStyle w:val="Paragraphedeliste"/>
        <w:numPr>
          <w:ilvl w:val="0"/>
          <w:numId w:val="3"/>
        </w:numPr>
        <w:spacing w:before="40" w:after="40"/>
      </w:pPr>
      <w:r>
        <w:t>Segmentation sectorielle obligatoire : les entreprises du commerce de détail, restauration, services à la personne et e-commerce présentent une propension structurellement différente des entreprises B2B</w:t>
      </w:r>
    </w:p>
    <w:p w14:paraId="6436F028" w14:textId="77777777" w:rsidR="00E944AC" w:rsidRDefault="00E944A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944AC" w14:paraId="0D6C9E22" w14:textId="77777777">
        <w:tc>
          <w:tcPr>
            <w:tcW w:w="9360" w:type="dxa"/>
            <w:tcBorders>
              <w:top w:val="single" w:sz="6" w:space="0" w:color="1B4F8A"/>
              <w:left w:val="single" w:sz="12" w:space="0" w:color="1B4F8A"/>
              <w:bottom w:val="single" w:sz="2" w:space="0" w:color="1B4F8A"/>
              <w:right w:val="none" w:sz="0" w:space="0" w:color="FFFFFF"/>
            </w:tcBorders>
            <w:shd w:val="clear" w:color="auto" w:fill="EEF4FB"/>
            <w:tcMar>
              <w:top w:w="120" w:type="dxa"/>
              <w:left w:w="180" w:type="dxa"/>
              <w:bottom w:w="120" w:type="dxa"/>
              <w:right w:w="120" w:type="dxa"/>
            </w:tcMar>
          </w:tcPr>
          <w:p w14:paraId="2AA8164F" w14:textId="77777777" w:rsidR="00E944AC" w:rsidRDefault="000A0040">
            <w:r>
              <w:rPr>
                <w:i/>
                <w:iCs/>
                <w:color w:val="1B4F8A"/>
                <w:sz w:val="20"/>
                <w:szCs w:val="20"/>
              </w:rPr>
              <w:t>⚠  VALIDATION REQUISE — Équipes TI &amp; Données : confirmer la disponibilité et la granularité des données de règlement (libellés de dépôts) dans le lac de données. Ce point est critique pour la détectabilité du produit 12.</w:t>
            </w:r>
          </w:p>
        </w:tc>
      </w:tr>
    </w:tbl>
    <w:p w14:paraId="1AFB3221" w14:textId="77777777" w:rsidR="00E944AC" w:rsidRDefault="000A0040">
      <w:pPr>
        <w:pStyle w:val="Titre2"/>
      </w:pPr>
      <w:r>
        <w:t>6.5 Métriques d'évaluation</w:t>
      </w:r>
    </w:p>
    <w:p w14:paraId="31BEE32C" w14:textId="77777777" w:rsidR="00E944AC" w:rsidRDefault="000A0040">
      <w:pPr>
        <w:spacing w:before="60" w:after="80"/>
      </w:pPr>
      <w:r>
        <w:t>Les modèles seront évalués sur les métriques suivantes, par catégorie de produit :</w:t>
      </w:r>
    </w:p>
    <w:p w14:paraId="031DD7E5" w14:textId="77777777" w:rsidR="00E944AC" w:rsidRDefault="000A0040">
      <w:pPr>
        <w:pStyle w:val="Paragraphedeliste"/>
        <w:numPr>
          <w:ilvl w:val="0"/>
          <w:numId w:val="3"/>
        </w:numPr>
        <w:spacing w:before="40" w:after="40"/>
      </w:pPr>
      <w:r>
        <w:t>AUC-ROC : métrique principale de discrimination (cible ≥ 0,75)</w:t>
      </w:r>
    </w:p>
    <w:p w14:paraId="2AF0158E" w14:textId="77777777" w:rsidR="00E944AC" w:rsidRDefault="000A0040">
      <w:pPr>
        <w:pStyle w:val="Paragraphedeliste"/>
        <w:numPr>
          <w:ilvl w:val="0"/>
          <w:numId w:val="3"/>
        </w:numPr>
        <w:spacing w:before="40" w:after="40"/>
      </w:pPr>
      <w:r>
        <w:t>Précision et rappel dans le top décile (top 10 % de la population scorée)</w:t>
      </w:r>
    </w:p>
    <w:p w14:paraId="5777A641" w14:textId="77777777" w:rsidR="00E944AC" w:rsidRDefault="000A0040">
      <w:pPr>
        <w:pStyle w:val="Paragraphedeliste"/>
        <w:numPr>
          <w:ilvl w:val="0"/>
          <w:numId w:val="3"/>
        </w:numPr>
        <w:spacing w:before="40" w:after="40"/>
      </w:pPr>
      <w:r>
        <w:t>Lift au top 20 % : capacité à concentrer les vrais positifs dans le segment haute propension</w:t>
      </w:r>
    </w:p>
    <w:p w14:paraId="2431E8E7" w14:textId="77777777" w:rsidR="00E944AC" w:rsidRDefault="000A0040">
      <w:pPr>
        <w:pStyle w:val="Paragraphedeliste"/>
        <w:numPr>
          <w:ilvl w:val="0"/>
          <w:numId w:val="3"/>
        </w:numPr>
        <w:spacing w:before="40" w:after="40"/>
      </w:pPr>
      <w:r>
        <w:t>Stabilité du score sur 3 fenêtres temporelles glissantes (stabilité PSI)</w:t>
      </w:r>
    </w:p>
    <w:p w14:paraId="29C09EDD" w14:textId="77777777" w:rsidR="00E944AC" w:rsidRDefault="000A0040">
      <w:pPr>
        <w:pStyle w:val="Paragraphedeliste"/>
        <w:numPr>
          <w:ilvl w:val="0"/>
          <w:numId w:val="3"/>
        </w:numPr>
        <w:spacing w:before="40" w:after="40"/>
      </w:pPr>
      <w:r>
        <w:t>Biais par sous-groupe : performance par taille d'entreprise, secteur NAICS, région</w:t>
      </w:r>
    </w:p>
    <w:p w14:paraId="5D9B5FEC" w14:textId="77777777" w:rsidR="00E944AC" w:rsidRDefault="000A0040">
      <w:r>
        <w:br w:type="page"/>
      </w:r>
    </w:p>
    <w:p w14:paraId="2CBBC032" w14:textId="77777777" w:rsidR="00E944AC" w:rsidRDefault="000A0040">
      <w:pPr>
        <w:pStyle w:val="Titre1"/>
        <w:pBdr>
          <w:bottom w:val="single" w:sz="8" w:space="4" w:color="00704A"/>
        </w:pBdr>
      </w:pPr>
      <w:r>
        <w:lastRenderedPageBreak/>
        <w:t>7. Architecture de données et pipeline analytique</w:t>
      </w:r>
    </w:p>
    <w:p w14:paraId="39C90160" w14:textId="77777777" w:rsidR="00E944AC" w:rsidRDefault="000A0040">
      <w:pPr>
        <w:spacing w:before="60" w:after="80"/>
      </w:pPr>
      <w:r>
        <w:t>Le pipeline analytique est structuré en cinq couches :</w:t>
      </w:r>
    </w:p>
    <w:p w14:paraId="6F469717" w14:textId="77777777" w:rsidR="00E944AC" w:rsidRDefault="000A0040">
      <w:pPr>
        <w:spacing w:before="200" w:after="80"/>
      </w:pPr>
      <w:r>
        <w:rPr>
          <w:b/>
          <w:bCs/>
          <w:color w:val="1A3C34"/>
        </w:rPr>
        <w:t>Ingestion</w:t>
      </w:r>
    </w:p>
    <w:p w14:paraId="021F37AF" w14:textId="77777777" w:rsidR="00E944AC" w:rsidRDefault="000A0040">
      <w:pPr>
        <w:pStyle w:val="Paragraphedeliste"/>
        <w:numPr>
          <w:ilvl w:val="0"/>
          <w:numId w:val="3"/>
        </w:numPr>
        <w:spacing w:before="40" w:after="40"/>
      </w:pPr>
      <w:r>
        <w:t>Extraction des sources internes (transactionnel, CRM, portefeuille, AccèsD Affaires) depuis le lac de données Desjardins</w:t>
      </w:r>
    </w:p>
    <w:p w14:paraId="02A7DE77" w14:textId="77777777" w:rsidR="00E944AC" w:rsidRDefault="000A0040">
      <w:pPr>
        <w:pStyle w:val="Paragraphedeliste"/>
        <w:numPr>
          <w:ilvl w:val="0"/>
          <w:numId w:val="3"/>
        </w:numPr>
        <w:spacing w:before="40" w:after="40"/>
      </w:pPr>
      <w:r>
        <w:t>Connexion aux sources externes (bureaux de crédit, registres publics) via APIs ou transferts sécurisés</w:t>
      </w:r>
    </w:p>
    <w:p w14:paraId="7D0E1CF2" w14:textId="77777777" w:rsidR="00E944AC" w:rsidRDefault="000A0040">
      <w:pPr>
        <w:pStyle w:val="Paragraphedeliste"/>
        <w:numPr>
          <w:ilvl w:val="0"/>
          <w:numId w:val="3"/>
        </w:numPr>
        <w:spacing w:before="40" w:after="40"/>
      </w:pPr>
      <w:r>
        <w:t>Fréquence de mise à jour : mensuelle pour le scoring, trimestrielle pour le réentraînement</w:t>
      </w:r>
    </w:p>
    <w:p w14:paraId="21797D14" w14:textId="77777777" w:rsidR="00E944AC" w:rsidRDefault="000A0040">
      <w:pPr>
        <w:spacing w:before="200" w:after="80"/>
      </w:pPr>
      <w:r>
        <w:rPr>
          <w:b/>
          <w:bCs/>
          <w:color w:val="1A3C34"/>
        </w:rPr>
        <w:t>Préparation et feature engineering</w:t>
      </w:r>
    </w:p>
    <w:p w14:paraId="4CC01C57" w14:textId="77777777" w:rsidR="00E944AC" w:rsidRDefault="000A0040">
      <w:pPr>
        <w:pStyle w:val="Paragraphedeliste"/>
        <w:numPr>
          <w:ilvl w:val="0"/>
          <w:numId w:val="3"/>
        </w:numPr>
        <w:spacing w:before="40" w:after="40"/>
      </w:pPr>
      <w:r>
        <w:t>Nettoyage et consolidation de l'identifiant membre entreprise (déduplication, gestion des filiales et groupes corporatifs)</w:t>
      </w:r>
    </w:p>
    <w:p w14:paraId="010C18AA" w14:textId="77777777" w:rsidR="00E944AC" w:rsidRDefault="000A0040">
      <w:pPr>
        <w:pStyle w:val="Paragraphedeliste"/>
        <w:numPr>
          <w:ilvl w:val="0"/>
          <w:numId w:val="3"/>
        </w:numPr>
        <w:spacing w:before="40" w:after="40"/>
      </w:pPr>
      <w:r>
        <w:t>Construction des features agrégées sur fenêtres temporelles multiples (3, 6, 12, 24 mois)</w:t>
      </w:r>
    </w:p>
    <w:p w14:paraId="481AEA2E" w14:textId="77777777" w:rsidR="00E944AC" w:rsidRDefault="000A0040">
      <w:pPr>
        <w:pStyle w:val="Paragraphedeliste"/>
        <w:numPr>
          <w:ilvl w:val="0"/>
          <w:numId w:val="3"/>
        </w:numPr>
        <w:spacing w:before="40" w:after="40"/>
      </w:pPr>
      <w:r>
        <w:t>Classification NLP des libellés de transactions pour identification des marchands concurrents</w:t>
      </w:r>
    </w:p>
    <w:p w14:paraId="4B96B7EF" w14:textId="77777777" w:rsidR="00E944AC" w:rsidRDefault="000A0040">
      <w:pPr>
        <w:pStyle w:val="Paragraphedeliste"/>
        <w:numPr>
          <w:ilvl w:val="0"/>
          <w:numId w:val="3"/>
        </w:numPr>
        <w:spacing w:before="40" w:after="40"/>
      </w:pPr>
      <w:r>
        <w:t>Jointure avec les données externes (bureau de crédit, registres)</w:t>
      </w:r>
    </w:p>
    <w:p w14:paraId="701B2D3A" w14:textId="77777777" w:rsidR="00E944AC" w:rsidRDefault="000A0040">
      <w:pPr>
        <w:spacing w:before="200" w:after="80"/>
      </w:pPr>
      <w:r>
        <w:rPr>
          <w:b/>
          <w:bCs/>
          <w:color w:val="1A3C34"/>
        </w:rPr>
        <w:t>Modélisation</w:t>
      </w:r>
    </w:p>
    <w:p w14:paraId="5DA30F5E" w14:textId="77777777" w:rsidR="00E944AC" w:rsidRDefault="000A0040">
      <w:pPr>
        <w:pStyle w:val="Paragraphedeliste"/>
        <w:numPr>
          <w:ilvl w:val="0"/>
          <w:numId w:val="3"/>
        </w:numPr>
        <w:spacing w:before="40" w:after="40"/>
      </w:pPr>
      <w:r>
        <w:t>Entraînement des 12 modèles de propension sur données historiques labellisées</w:t>
      </w:r>
    </w:p>
    <w:p w14:paraId="53916862" w14:textId="77777777" w:rsidR="00E944AC" w:rsidRDefault="000A0040">
      <w:pPr>
        <w:pStyle w:val="Paragraphedeliste"/>
        <w:numPr>
          <w:ilvl w:val="0"/>
          <w:numId w:val="3"/>
        </w:numPr>
        <w:spacing w:before="40" w:after="40"/>
      </w:pPr>
      <w:r>
        <w:t>Validation croisée temporelle (pas de fuite d'information future)</w:t>
      </w:r>
    </w:p>
    <w:p w14:paraId="0C5E4C46" w14:textId="77777777" w:rsidR="00E944AC" w:rsidRDefault="000A0040">
      <w:pPr>
        <w:pStyle w:val="Paragraphedeliste"/>
        <w:numPr>
          <w:ilvl w:val="0"/>
          <w:numId w:val="3"/>
        </w:numPr>
        <w:spacing w:before="40" w:after="40"/>
      </w:pPr>
      <w:r>
        <w:t>Calcul du score agrégé de risque concurrent</w:t>
      </w:r>
    </w:p>
    <w:p w14:paraId="18A0D6A6" w14:textId="77777777" w:rsidR="00E944AC" w:rsidRDefault="000A0040">
      <w:pPr>
        <w:spacing w:before="200" w:after="80"/>
      </w:pPr>
      <w:r>
        <w:rPr>
          <w:b/>
          <w:bCs/>
          <w:color w:val="1A3C34"/>
        </w:rPr>
        <w:t>Scoring et déploiement</w:t>
      </w:r>
    </w:p>
    <w:p w14:paraId="6D576123" w14:textId="77777777" w:rsidR="00E944AC" w:rsidRDefault="000A0040">
      <w:pPr>
        <w:pStyle w:val="Paragraphedeliste"/>
        <w:numPr>
          <w:ilvl w:val="0"/>
          <w:numId w:val="3"/>
        </w:numPr>
        <w:spacing w:before="40" w:after="40"/>
      </w:pPr>
      <w:r>
        <w:t>Production mensuelle des scores pour l'ensemble de la population membres entreprises actifs</w:t>
      </w:r>
    </w:p>
    <w:p w14:paraId="4C367CD1" w14:textId="77777777" w:rsidR="00E944AC" w:rsidRDefault="000A0040">
      <w:pPr>
        <w:pStyle w:val="Paragraphedeliste"/>
        <w:numPr>
          <w:ilvl w:val="0"/>
          <w:numId w:val="3"/>
        </w:numPr>
        <w:spacing w:before="40" w:after="40"/>
      </w:pPr>
      <w:r>
        <w:t>Mise à disposition dans l'environnement CRM de la PVP (alertes conseiller, tableaux de bord)</w:t>
      </w:r>
    </w:p>
    <w:p w14:paraId="615F3690" w14:textId="77777777" w:rsidR="00E944AC" w:rsidRDefault="000A0040">
      <w:pPr>
        <w:pStyle w:val="Paragraphedeliste"/>
        <w:numPr>
          <w:ilvl w:val="0"/>
          <w:numId w:val="3"/>
        </w:numPr>
        <w:spacing w:before="40" w:after="40"/>
      </w:pPr>
      <w:r>
        <w:t>API de scoring en temps quasi-réel pour les points de contact transactionnels à fort intérêt</w:t>
      </w:r>
    </w:p>
    <w:p w14:paraId="1CBD2DF2" w14:textId="77777777" w:rsidR="00E944AC" w:rsidRDefault="000A0040">
      <w:pPr>
        <w:spacing w:before="200" w:after="80"/>
      </w:pPr>
      <w:r>
        <w:rPr>
          <w:b/>
          <w:bCs/>
          <w:color w:val="1A3C34"/>
        </w:rPr>
        <w:t>Monitoring et gouvernance</w:t>
      </w:r>
    </w:p>
    <w:p w14:paraId="20986B84" w14:textId="77777777" w:rsidR="00E944AC" w:rsidRDefault="000A0040">
      <w:pPr>
        <w:pStyle w:val="Paragraphedeliste"/>
        <w:numPr>
          <w:ilvl w:val="0"/>
          <w:numId w:val="3"/>
        </w:numPr>
        <w:spacing w:before="40" w:after="40"/>
      </w:pPr>
      <w:r>
        <w:t>Tableau de bord de performance des modèles (drift des features, stabilité des scores)</w:t>
      </w:r>
    </w:p>
    <w:p w14:paraId="12616F30" w14:textId="77777777" w:rsidR="00E944AC" w:rsidRDefault="000A0040">
      <w:pPr>
        <w:pStyle w:val="Paragraphedeliste"/>
        <w:numPr>
          <w:ilvl w:val="0"/>
          <w:numId w:val="3"/>
        </w:numPr>
        <w:spacing w:before="40" w:after="40"/>
      </w:pPr>
      <w:r>
        <w:t>Processus de réentraînement déclenché si l'AUC chute de plus de 0,05 sur deux périodes consécutives</w:t>
      </w:r>
    </w:p>
    <w:p w14:paraId="3EF33BCF" w14:textId="77777777" w:rsidR="00E944AC" w:rsidRDefault="000A0040">
      <w:pPr>
        <w:pStyle w:val="Paragraphedeliste"/>
        <w:numPr>
          <w:ilvl w:val="0"/>
          <w:numId w:val="3"/>
        </w:numPr>
        <w:spacing w:before="40" w:after="40"/>
      </w:pPr>
      <w:r>
        <w:t>Traçabilité complète des décisions de modélisation (MLflow ou équivalent)</w:t>
      </w:r>
    </w:p>
    <w:p w14:paraId="144A56F5" w14:textId="77777777" w:rsidR="00E944AC" w:rsidRDefault="000A0040">
      <w:r>
        <w:br w:type="page"/>
      </w:r>
    </w:p>
    <w:p w14:paraId="02F6B7EB" w14:textId="77777777" w:rsidR="00E944AC" w:rsidRDefault="000A0040">
      <w:pPr>
        <w:pStyle w:val="Titre1"/>
        <w:pBdr>
          <w:bottom w:val="single" w:sz="8" w:space="4" w:color="00704A"/>
        </w:pBdr>
      </w:pPr>
      <w:r>
        <w:lastRenderedPageBreak/>
        <w:t>8. Cas d'usage aval — Activation</w:t>
      </w:r>
    </w:p>
    <w:p w14:paraId="4DFA6DB7" w14:textId="77777777" w:rsidR="00E944AC" w:rsidRDefault="000A0040">
      <w:pPr>
        <w:pStyle w:val="Titre2"/>
      </w:pPr>
      <w:r>
        <w:t>8.1 Alertes et priorisation CRM</w:t>
      </w:r>
    </w:p>
    <w:p w14:paraId="1B4FD9EE" w14:textId="77777777" w:rsidR="00E944AC" w:rsidRDefault="000A0040">
      <w:pPr>
        <w:spacing w:before="60" w:after="80"/>
      </w:pPr>
      <w:r>
        <w:t>Les scores de propension seront intégrés dans la vue membre du CRM de la PVP sous forme d'alertes priorisées. Pour chaque conseiller, une liste des membres présentant une propension élevée (top 20 %) sur une ou plusieurs catégories de produits sera actualisée mensuellement. Les alertes seront accompagnées des signaux ayant contribué au score (explainabilité SHAP), permettant au conseiller de préparer une conversation ciblée.</w:t>
      </w:r>
    </w:p>
    <w:p w14:paraId="61683EC6" w14:textId="77777777" w:rsidR="00E944AC" w:rsidRDefault="000A0040">
      <w:pPr>
        <w:spacing w:before="60" w:after="80"/>
      </w:pPr>
      <w:r>
        <w:t>Exemple : un membre du secteur restauration ayant un faible volume de règlement aux terminaux Desjardins et des dépôts nets réguliers identifiés comme provenant de Square génèrera une alerte « Migration Global Payment probable » avec un score de confiance et les transactions clés en appui.</w:t>
      </w:r>
    </w:p>
    <w:p w14:paraId="773D1E6C" w14:textId="77777777" w:rsidR="00E944AC" w:rsidRDefault="000A0040">
      <w:pPr>
        <w:pStyle w:val="Titre2"/>
      </w:pPr>
      <w:r>
        <w:t>8.2 Campagnes de rétention ciblées</w:t>
      </w:r>
    </w:p>
    <w:p w14:paraId="7EC51608" w14:textId="77777777" w:rsidR="00E944AC" w:rsidRDefault="000A0040">
      <w:pPr>
        <w:pStyle w:val="Paragraphedeliste"/>
        <w:numPr>
          <w:ilvl w:val="0"/>
          <w:numId w:val="3"/>
        </w:numPr>
        <w:spacing w:before="40" w:after="40"/>
      </w:pPr>
      <w:r>
        <w:t>Campagnes outbound (courriel, téléphone) déclenchées pour les membres haute propension sur des produits à forte valeur (financement long terme, Global Payment, services de paie)</w:t>
      </w:r>
    </w:p>
    <w:p w14:paraId="69EB3A66" w14:textId="77777777" w:rsidR="00E944AC" w:rsidRDefault="000A0040">
      <w:pPr>
        <w:pStyle w:val="Paragraphedeliste"/>
        <w:numPr>
          <w:ilvl w:val="0"/>
          <w:numId w:val="3"/>
        </w:numPr>
        <w:spacing w:before="40" w:after="40"/>
      </w:pPr>
      <w:r>
        <w:t>Personnalisation du message selon la catégorie détectée et le profil du membre (secteur, taille, ancienneté)</w:t>
      </w:r>
    </w:p>
    <w:p w14:paraId="002C40E3" w14:textId="77777777" w:rsidR="00E944AC" w:rsidRDefault="000A0040">
      <w:pPr>
        <w:pStyle w:val="Paragraphedeliste"/>
        <w:numPr>
          <w:ilvl w:val="0"/>
          <w:numId w:val="3"/>
        </w:numPr>
        <w:spacing w:before="40" w:after="40"/>
      </w:pPr>
      <w:r>
        <w:t>Intégration avec la plateforme de marketing automation existante de Desjardins</w:t>
      </w:r>
    </w:p>
    <w:p w14:paraId="3CC1F22C" w14:textId="77777777" w:rsidR="00E944AC" w:rsidRDefault="000A0040">
      <w:pPr>
        <w:pStyle w:val="Titre2"/>
      </w:pPr>
      <w:r>
        <w:t>8.3 Offres personnalisées</w:t>
      </w:r>
    </w:p>
    <w:p w14:paraId="7774542E" w14:textId="77777777" w:rsidR="00E944AC" w:rsidRDefault="000A0040">
      <w:pPr>
        <w:pStyle w:val="Paragraphedeliste"/>
        <w:numPr>
          <w:ilvl w:val="0"/>
          <w:numId w:val="3"/>
        </w:numPr>
        <w:spacing w:before="40" w:after="40"/>
      </w:pPr>
      <w:r>
        <w:t>Génération d'offres de reconquête adaptées : conditions préférentielles sur la catégorie migrée, bundle multi-produits pour les membres multi-migration</w:t>
      </w:r>
    </w:p>
    <w:p w14:paraId="44CE5AE7" w14:textId="77777777" w:rsidR="00E944AC" w:rsidRDefault="000A0040">
      <w:pPr>
        <w:pStyle w:val="Paragraphedeliste"/>
        <w:numPr>
          <w:ilvl w:val="0"/>
          <w:numId w:val="3"/>
        </w:numPr>
        <w:spacing w:before="40" w:after="40"/>
      </w:pPr>
      <w:r>
        <w:t>Pour le transfert d'entreprises : déclenchement automatique d'une invitation à un atelier de planification de relève Desjardins Gestion de patrimoine</w:t>
      </w:r>
    </w:p>
    <w:p w14:paraId="3B8222DD" w14:textId="77777777" w:rsidR="00E944AC" w:rsidRDefault="000A0040">
      <w:pPr>
        <w:pStyle w:val="Titre2"/>
      </w:pPr>
      <w:r>
        <w:t>8.4 Tableaux de bord analytiques</w:t>
      </w:r>
    </w:p>
    <w:p w14:paraId="0A80550D" w14:textId="77777777" w:rsidR="00E944AC" w:rsidRDefault="000A0040">
      <w:pPr>
        <w:pStyle w:val="Paragraphedeliste"/>
        <w:numPr>
          <w:ilvl w:val="0"/>
          <w:numId w:val="3"/>
        </w:numPr>
        <w:spacing w:before="40" w:after="40"/>
      </w:pPr>
      <w:r>
        <w:t>Tableau de bord « portefeuille concurrent estimé » par région, secteur et catégorie de produit, à destination des gestionnaires PVP</w:t>
      </w:r>
    </w:p>
    <w:p w14:paraId="784B8240" w14:textId="77777777" w:rsidR="00E944AC" w:rsidRDefault="000A0040">
      <w:pPr>
        <w:pStyle w:val="Paragraphedeliste"/>
        <w:numPr>
          <w:ilvl w:val="0"/>
          <w:numId w:val="3"/>
        </w:numPr>
        <w:spacing w:before="40" w:after="40"/>
      </w:pPr>
      <w:r>
        <w:t>Suivi de l'évolution du score agrégé de risque concurrent au niveau du portefeuille global</w:t>
      </w:r>
    </w:p>
    <w:p w14:paraId="03D0C9BD" w14:textId="77777777" w:rsidR="00E944AC" w:rsidRDefault="000A0040">
      <w:pPr>
        <w:pStyle w:val="Paragraphedeliste"/>
        <w:numPr>
          <w:ilvl w:val="0"/>
          <w:numId w:val="3"/>
        </w:numPr>
        <w:spacing w:before="40" w:after="40"/>
      </w:pPr>
      <w:r>
        <w:t>Rapport trimestriel de validation : confrontation des scores aux données confirmées collectées par les conseillers</w:t>
      </w:r>
    </w:p>
    <w:p w14:paraId="7BD80E21" w14:textId="77777777" w:rsidR="00E944AC" w:rsidRDefault="000A0040">
      <w:r>
        <w:br w:type="page"/>
      </w:r>
    </w:p>
    <w:p w14:paraId="2AA30A37" w14:textId="77777777" w:rsidR="00E944AC" w:rsidRDefault="000A0040">
      <w:pPr>
        <w:pStyle w:val="Titre1"/>
        <w:pBdr>
          <w:bottom w:val="single" w:sz="8" w:space="4" w:color="00704A"/>
        </w:pBdr>
      </w:pPr>
      <w:r>
        <w:lastRenderedPageBreak/>
        <w:t>9. Parties prenantes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500"/>
        <w:gridCol w:w="3860"/>
      </w:tblGrid>
      <w:tr w:rsidR="00E944AC" w14:paraId="77E90D11" w14:textId="77777777">
        <w:tc>
          <w:tcPr>
            <w:tcW w:w="300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20" w:type="dxa"/>
              <w:bottom w:w="80" w:type="dxa"/>
              <w:right w:w="120" w:type="dxa"/>
            </w:tcMar>
          </w:tcPr>
          <w:p w14:paraId="4BCBAE21" w14:textId="77777777" w:rsidR="00E944AC" w:rsidRDefault="000A0040">
            <w:r>
              <w:rPr>
                <w:b/>
                <w:bCs/>
                <w:color w:val="FFFFFF"/>
                <w:sz w:val="20"/>
                <w:szCs w:val="20"/>
              </w:rPr>
              <w:t>Partie prenante</w:t>
            </w:r>
          </w:p>
        </w:tc>
        <w:tc>
          <w:tcPr>
            <w:tcW w:w="250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20" w:type="dxa"/>
              <w:bottom w:w="80" w:type="dxa"/>
              <w:right w:w="120" w:type="dxa"/>
            </w:tcMar>
          </w:tcPr>
          <w:p w14:paraId="5FE41322" w14:textId="77777777" w:rsidR="00E944AC" w:rsidRDefault="000A0040">
            <w:r>
              <w:rPr>
                <w:b/>
                <w:bCs/>
                <w:color w:val="FFFFFF"/>
                <w:sz w:val="20"/>
                <w:szCs w:val="20"/>
              </w:rPr>
              <w:t>Rôle</w:t>
            </w:r>
          </w:p>
        </w:tc>
        <w:tc>
          <w:tcPr>
            <w:tcW w:w="386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20" w:type="dxa"/>
              <w:bottom w:w="80" w:type="dxa"/>
              <w:right w:w="120" w:type="dxa"/>
            </w:tcMar>
          </w:tcPr>
          <w:p w14:paraId="4BBEF5D0" w14:textId="77777777" w:rsidR="00E944AC" w:rsidRDefault="000A0040">
            <w:r>
              <w:rPr>
                <w:b/>
                <w:bCs/>
                <w:color w:val="FFFFFF"/>
                <w:sz w:val="20"/>
                <w:szCs w:val="20"/>
              </w:rPr>
              <w:t>Responsabilité principale</w:t>
            </w:r>
          </w:p>
        </w:tc>
      </w:tr>
      <w:tr w:rsidR="00E944AC" w14:paraId="2BB7438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74394" w14:textId="77777777" w:rsidR="00E944AC" w:rsidRDefault="000A0040">
            <w:r>
              <w:rPr>
                <w:b/>
                <w:bCs/>
                <w:sz w:val="19"/>
                <w:szCs w:val="19"/>
              </w:rPr>
              <w:t>PVP Entreprises — Analytique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86F17" w14:textId="77777777" w:rsidR="00E944AC" w:rsidRDefault="000A0040">
            <w:r>
              <w:rPr>
                <w:sz w:val="19"/>
                <w:szCs w:val="19"/>
              </w:rPr>
              <w:t>Équipe porteuse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A9587" w14:textId="77777777" w:rsidR="00E944AC" w:rsidRDefault="000A0040">
            <w:r>
              <w:rPr>
                <w:sz w:val="19"/>
                <w:szCs w:val="19"/>
              </w:rPr>
              <w:t>Développement, pilotage et déploiement du cas d'usage</w:t>
            </w:r>
          </w:p>
        </w:tc>
      </w:tr>
      <w:tr w:rsidR="00E944AC" w14:paraId="1E7AA7A5"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A61950" w14:textId="77777777" w:rsidR="00E944AC" w:rsidRDefault="000A0040">
            <w:r>
              <w:rPr>
                <w:b/>
                <w:bCs/>
                <w:sz w:val="19"/>
                <w:szCs w:val="19"/>
              </w:rPr>
              <w:t>Sponsors d'affaires PVP</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25DD4A" w14:textId="77777777" w:rsidR="00E944AC" w:rsidRDefault="000A0040">
            <w:r>
              <w:rPr>
                <w:sz w:val="19"/>
                <w:szCs w:val="19"/>
              </w:rPr>
              <w:t>Commanditaire</w:t>
            </w:r>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A747D0" w14:textId="77777777" w:rsidR="00E944AC" w:rsidRDefault="000A0040">
            <w:r>
              <w:rPr>
                <w:sz w:val="19"/>
                <w:szCs w:val="19"/>
              </w:rPr>
              <w:t>Validation des orientations, arbitrage des priorités, accès aux ressources</w:t>
            </w:r>
          </w:p>
        </w:tc>
      </w:tr>
      <w:tr w:rsidR="00E944AC" w14:paraId="3F083B0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7E1771" w14:textId="77777777" w:rsidR="00E944AC" w:rsidRDefault="000A0040">
            <w:r>
              <w:rPr>
                <w:b/>
                <w:bCs/>
                <w:sz w:val="19"/>
                <w:szCs w:val="19"/>
              </w:rPr>
              <w:t>Conseillers entreprises (terrain)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56343A" w14:textId="77777777" w:rsidR="00E944AC" w:rsidRDefault="000A0040">
            <w:r>
              <w:rPr>
                <w:sz w:val="19"/>
                <w:szCs w:val="19"/>
              </w:rPr>
              <w:t>Utilisateurs finaux</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E574E" w14:textId="77777777" w:rsidR="00E944AC" w:rsidRDefault="000A0040">
            <w:r>
              <w:rPr>
                <w:sz w:val="19"/>
                <w:szCs w:val="19"/>
              </w:rPr>
              <w:t>Validation des labels, utilisation des alertes CRM, retour d'expérience pilote</w:t>
            </w:r>
          </w:p>
        </w:tc>
      </w:tr>
      <w:tr w:rsidR="00E944AC" w14:paraId="63D1BB62"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CE5B55" w14:textId="77777777" w:rsidR="00E944AC" w:rsidRDefault="000A0040">
            <w:r>
              <w:rPr>
                <w:b/>
                <w:bCs/>
                <w:sz w:val="19"/>
                <w:szCs w:val="19"/>
              </w:rPr>
              <w:t>Équipes TI &amp; Architecture de données</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929E27" w14:textId="77777777" w:rsidR="00E944AC" w:rsidRDefault="000A0040">
            <w:r>
              <w:rPr>
                <w:sz w:val="19"/>
                <w:szCs w:val="19"/>
              </w:rPr>
              <w:t>Fournisseur données</w:t>
            </w:r>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CA0293" w14:textId="77777777" w:rsidR="00E944AC" w:rsidRDefault="000A0040">
            <w:r>
              <w:rPr>
                <w:sz w:val="19"/>
                <w:szCs w:val="19"/>
              </w:rPr>
              <w:t>Accès aux sources, infrastructure pipeline, déploiement en production</w:t>
            </w:r>
          </w:p>
        </w:tc>
      </w:tr>
      <w:tr w:rsidR="00E944AC" w14:paraId="6632F54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E93B8" w14:textId="77777777" w:rsidR="00E944AC" w:rsidRDefault="000A0040">
            <w:r>
              <w:rPr>
                <w:b/>
                <w:bCs/>
                <w:sz w:val="19"/>
                <w:szCs w:val="19"/>
              </w:rPr>
              <w:t>Équipe Gouvernance des données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45A9A6" w14:textId="77777777" w:rsidR="00E944AC" w:rsidRDefault="000A0040">
            <w:r>
              <w:rPr>
                <w:sz w:val="19"/>
                <w:szCs w:val="19"/>
              </w:rPr>
              <w:t>Encadrement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A1ACC" w14:textId="77777777" w:rsidR="00E944AC" w:rsidRDefault="000A0040">
            <w:r>
              <w:rPr>
                <w:sz w:val="19"/>
                <w:szCs w:val="19"/>
              </w:rPr>
              <w:t>Validation des sources, qualité des données, conformité</w:t>
            </w:r>
          </w:p>
        </w:tc>
      </w:tr>
      <w:tr w:rsidR="00E944AC" w14:paraId="1B068B53"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F77CE1" w14:textId="77777777" w:rsidR="00E944AC" w:rsidRDefault="000A0040">
            <w:r>
              <w:rPr>
                <w:b/>
                <w:bCs/>
                <w:sz w:val="19"/>
                <w:szCs w:val="19"/>
              </w:rPr>
              <w:t>Conformité &amp; Vie privée</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7E9B67" w14:textId="77777777" w:rsidR="00E944AC" w:rsidRDefault="000A0040">
            <w:r>
              <w:rPr>
                <w:sz w:val="19"/>
                <w:szCs w:val="19"/>
              </w:rPr>
              <w:t>Approbation</w:t>
            </w:r>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1CAC30" w14:textId="77777777" w:rsidR="00E944AC" w:rsidRDefault="000A0040">
            <w:r>
              <w:rPr>
                <w:sz w:val="19"/>
                <w:szCs w:val="19"/>
              </w:rPr>
              <w:t>Revue Loi 25, RPVP, conditions d'utilisation des données membres</w:t>
            </w:r>
          </w:p>
        </w:tc>
      </w:tr>
      <w:tr w:rsidR="00E944AC" w14:paraId="6B63BEB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1BB97B" w14:textId="77777777" w:rsidR="00E944AC" w:rsidRDefault="000A0040">
            <w:r>
              <w:rPr>
                <w:b/>
                <w:bCs/>
                <w:sz w:val="19"/>
                <w:szCs w:val="19"/>
              </w:rPr>
              <w:t>Équipes Produits (chaque ligne)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784B7" w14:textId="77777777" w:rsidR="00E944AC" w:rsidRDefault="000A0040">
            <w:r>
              <w:rPr>
                <w:sz w:val="19"/>
                <w:szCs w:val="19"/>
              </w:rPr>
              <w:t>Contributeur</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B42EF" w14:textId="77777777" w:rsidR="00E944AC" w:rsidRDefault="000A0040">
            <w:r>
              <w:rPr>
                <w:sz w:val="19"/>
                <w:szCs w:val="19"/>
              </w:rPr>
              <w:t>Validation du périmètre produit, définition des offres d'activation</w:t>
            </w:r>
          </w:p>
        </w:tc>
      </w:tr>
      <w:tr w:rsidR="00E944AC" w14:paraId="326881DD"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99327F" w14:textId="77777777" w:rsidR="00E944AC" w:rsidRDefault="000A0040">
            <w:r>
              <w:rPr>
                <w:b/>
                <w:bCs/>
                <w:sz w:val="19"/>
                <w:szCs w:val="19"/>
              </w:rPr>
              <w:t>Marketing Entreprises</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332A3F" w14:textId="77777777" w:rsidR="00E944AC" w:rsidRDefault="000A0040">
            <w:r>
              <w:rPr>
                <w:sz w:val="19"/>
                <w:szCs w:val="19"/>
              </w:rPr>
              <w:t>Partenaire activation</w:t>
            </w:r>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E89351" w14:textId="77777777" w:rsidR="00E944AC" w:rsidRDefault="000A0040">
            <w:r>
              <w:rPr>
                <w:sz w:val="19"/>
                <w:szCs w:val="19"/>
              </w:rPr>
              <w:t>Campagnes outbound, personnalisation des messages, A/B testing</w:t>
            </w:r>
          </w:p>
        </w:tc>
      </w:tr>
      <w:tr w:rsidR="00E944AC" w14:paraId="0C91D4F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AC34A" w14:textId="77777777" w:rsidR="00E944AC" w:rsidRDefault="000A0040">
            <w:r>
              <w:rPr>
                <w:b/>
                <w:bCs/>
                <w:sz w:val="19"/>
                <w:szCs w:val="19"/>
              </w:rPr>
              <w:t>Desjardins Gestion de patrimoine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2DD14" w14:textId="77777777" w:rsidR="00E944AC" w:rsidRDefault="000A0040">
            <w:r>
              <w:rPr>
                <w:sz w:val="19"/>
                <w:szCs w:val="19"/>
              </w:rPr>
              <w:t>Partenaire produit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81105" w14:textId="77777777" w:rsidR="00E944AC" w:rsidRDefault="000A0040">
            <w:r>
              <w:rPr>
                <w:sz w:val="19"/>
                <w:szCs w:val="19"/>
              </w:rPr>
              <w:t>Transfert d'entreprises — co-développement de l'offre de relève</w:t>
            </w:r>
          </w:p>
        </w:tc>
      </w:tr>
    </w:tbl>
    <w:p w14:paraId="51A3F400" w14:textId="77777777" w:rsidR="00E944AC" w:rsidRDefault="00E944AC">
      <w:pPr>
        <w:spacing w:after="80"/>
      </w:pPr>
    </w:p>
    <w:p w14:paraId="19D48FE6" w14:textId="77777777" w:rsidR="00E944AC" w:rsidRDefault="00E944AC">
      <w:pPr>
        <w:spacing w:after="80"/>
      </w:pPr>
    </w:p>
    <w:p w14:paraId="0AA1339D" w14:textId="77777777" w:rsidR="00E944AC" w:rsidRDefault="000A0040">
      <w:pPr>
        <w:pStyle w:val="Titre1"/>
        <w:pBdr>
          <w:bottom w:val="single" w:sz="8" w:space="4" w:color="00704A"/>
        </w:pBdr>
      </w:pPr>
      <w:r>
        <w:t>10. Critères de succès et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000"/>
        <w:gridCol w:w="3360"/>
      </w:tblGrid>
      <w:tr w:rsidR="00E944AC" w14:paraId="1AE55581" w14:textId="77777777">
        <w:tc>
          <w:tcPr>
            <w:tcW w:w="4000" w:type="dxa"/>
            <w:tcBorders>
              <w:top w:val="single" w:sz="1" w:space="0" w:color="CCCCCC"/>
              <w:left w:val="single" w:sz="1" w:space="0" w:color="CCCCCC"/>
              <w:bottom w:val="single" w:sz="1" w:space="0" w:color="CCCCCC"/>
              <w:right w:val="single" w:sz="1" w:space="0" w:color="CCCCCC"/>
            </w:tcBorders>
            <w:shd w:val="clear" w:color="auto" w:fill="00704A"/>
            <w:tcMar>
              <w:top w:w="80" w:type="dxa"/>
              <w:left w:w="120" w:type="dxa"/>
              <w:bottom w:w="80" w:type="dxa"/>
              <w:right w:w="120" w:type="dxa"/>
            </w:tcMar>
          </w:tcPr>
          <w:p w14:paraId="6545C555" w14:textId="77777777" w:rsidR="00E944AC" w:rsidRDefault="000A0040">
            <w:r>
              <w:rPr>
                <w:b/>
                <w:bCs/>
                <w:color w:val="FFFFFF"/>
                <w:sz w:val="20"/>
                <w:szCs w:val="20"/>
              </w:rPr>
              <w:t>Indicateur</w:t>
            </w:r>
          </w:p>
        </w:tc>
        <w:tc>
          <w:tcPr>
            <w:tcW w:w="2000" w:type="dxa"/>
            <w:tcBorders>
              <w:top w:val="single" w:sz="1" w:space="0" w:color="CCCCCC"/>
              <w:left w:val="single" w:sz="1" w:space="0" w:color="CCCCCC"/>
              <w:bottom w:val="single" w:sz="1" w:space="0" w:color="CCCCCC"/>
              <w:right w:val="single" w:sz="1" w:space="0" w:color="CCCCCC"/>
            </w:tcBorders>
            <w:shd w:val="clear" w:color="auto" w:fill="00704A"/>
            <w:tcMar>
              <w:top w:w="80" w:type="dxa"/>
              <w:left w:w="120" w:type="dxa"/>
              <w:bottom w:w="80" w:type="dxa"/>
              <w:right w:w="120" w:type="dxa"/>
            </w:tcMar>
          </w:tcPr>
          <w:p w14:paraId="40B029AB" w14:textId="77777777" w:rsidR="00E944AC" w:rsidRDefault="000A0040">
            <w:r>
              <w:rPr>
                <w:b/>
                <w:bCs/>
                <w:color w:val="FFFFFF"/>
                <w:sz w:val="20"/>
                <w:szCs w:val="20"/>
              </w:rPr>
              <w:t>Cible 2027</w:t>
            </w:r>
          </w:p>
        </w:tc>
        <w:tc>
          <w:tcPr>
            <w:tcW w:w="3360" w:type="dxa"/>
            <w:tcBorders>
              <w:top w:val="single" w:sz="1" w:space="0" w:color="CCCCCC"/>
              <w:left w:val="single" w:sz="1" w:space="0" w:color="CCCCCC"/>
              <w:bottom w:val="single" w:sz="1" w:space="0" w:color="CCCCCC"/>
              <w:right w:val="single" w:sz="1" w:space="0" w:color="CCCCCC"/>
            </w:tcBorders>
            <w:shd w:val="clear" w:color="auto" w:fill="00704A"/>
            <w:tcMar>
              <w:top w:w="80" w:type="dxa"/>
              <w:left w:w="120" w:type="dxa"/>
              <w:bottom w:w="80" w:type="dxa"/>
              <w:right w:w="120" w:type="dxa"/>
            </w:tcMar>
          </w:tcPr>
          <w:p w14:paraId="413B4C27" w14:textId="77777777" w:rsidR="00E944AC" w:rsidRDefault="000A0040">
            <w:r>
              <w:rPr>
                <w:b/>
                <w:bCs/>
                <w:color w:val="FFFFFF"/>
                <w:sz w:val="20"/>
                <w:szCs w:val="20"/>
              </w:rPr>
              <w:t>Source de mesure</w:t>
            </w:r>
          </w:p>
        </w:tc>
      </w:tr>
      <w:tr w:rsidR="00E944AC" w14:paraId="6002CD19"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DE777" w14:textId="77777777" w:rsidR="00E944AC" w:rsidRDefault="000A0040">
            <w:r>
              <w:rPr>
                <w:sz w:val="20"/>
                <w:szCs w:val="20"/>
              </w:rPr>
              <w:t>AUC moyen des modèles (8 catégories min.)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5A384" w14:textId="77777777" w:rsidR="00E944AC" w:rsidRDefault="000A0040">
            <w:r>
              <w:rPr>
                <w:sz w:val="20"/>
                <w:szCs w:val="20"/>
              </w:rPr>
              <w:t>≥ 0,75</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EA5FE" w14:textId="77777777" w:rsidR="00E944AC" w:rsidRDefault="000A0040">
            <w:r>
              <w:rPr>
                <w:sz w:val="20"/>
                <w:szCs w:val="20"/>
              </w:rPr>
              <w:t>Métriques de modélisation — rapport validation</w:t>
            </w:r>
          </w:p>
        </w:tc>
      </w:tr>
      <w:tr w:rsidR="00E944AC" w14:paraId="7B748A5E" w14:textId="77777777">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833164" w14:textId="77777777" w:rsidR="00E944AC" w:rsidRDefault="000A0040">
            <w:r>
              <w:rPr>
                <w:sz w:val="20"/>
                <w:szCs w:val="20"/>
              </w:rPr>
              <w:t>Rappel dans le top 20 % (membres haute propension)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0AA617" w14:textId="77777777" w:rsidR="00E944AC" w:rsidRDefault="000A0040">
            <w:r>
              <w:rPr>
                <w:sz w:val="20"/>
                <w:szCs w:val="20"/>
              </w:rPr>
              <w:t>≥ 70 %</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92953F" w14:textId="77777777" w:rsidR="00E944AC" w:rsidRDefault="000A0040">
            <w:r>
              <w:rPr>
                <w:sz w:val="20"/>
                <w:szCs w:val="20"/>
              </w:rPr>
              <w:t>Validation terrain — pilote 2026</w:t>
            </w:r>
          </w:p>
        </w:tc>
      </w:tr>
      <w:tr w:rsidR="00E944AC" w14:paraId="0B36975D"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ED3B59" w14:textId="77777777" w:rsidR="00E944AC" w:rsidRDefault="000A0040">
            <w:r>
              <w:rPr>
                <w:sz w:val="20"/>
                <w:szCs w:val="20"/>
              </w:rPr>
              <w:t>Couverture de la population membres entreprises actifs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AA144" w14:textId="77777777" w:rsidR="00E944AC" w:rsidRDefault="000A0040">
            <w:r>
              <w:rPr>
                <w:sz w:val="20"/>
                <w:szCs w:val="20"/>
              </w:rPr>
              <w:t>100 %</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9A908" w14:textId="77777777" w:rsidR="00E944AC" w:rsidRDefault="000A0040">
            <w:r>
              <w:rPr>
                <w:sz w:val="20"/>
                <w:szCs w:val="20"/>
              </w:rPr>
              <w:t>Tableau de bord scoring mensuel</w:t>
            </w:r>
          </w:p>
        </w:tc>
      </w:tr>
      <w:tr w:rsidR="00E944AC" w14:paraId="319DA812" w14:textId="77777777">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597D36" w14:textId="77777777" w:rsidR="00E944AC" w:rsidRDefault="000A0040">
            <w:r>
              <w:rPr>
                <w:sz w:val="20"/>
                <w:szCs w:val="20"/>
              </w:rPr>
              <w:t>Taux de récupération produits sur catégories ciblées (vs cohorte contrôle, 12 mois post-déploiement)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2563D3" w14:textId="77777777" w:rsidR="00E944AC" w:rsidRDefault="000A0040">
            <w:r>
              <w:rPr>
                <w:sz w:val="20"/>
                <w:szCs w:val="20"/>
              </w:rPr>
              <w:t>+10 %</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735C03" w14:textId="77777777" w:rsidR="00E944AC" w:rsidRDefault="000A0040">
            <w:r>
              <w:rPr>
                <w:sz w:val="20"/>
                <w:szCs w:val="20"/>
              </w:rPr>
              <w:t>Données portefeuille CRM</w:t>
            </w:r>
          </w:p>
        </w:tc>
      </w:tr>
      <w:tr w:rsidR="00E944AC" w14:paraId="28E2C10E"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5913C" w14:textId="77777777" w:rsidR="00E944AC" w:rsidRDefault="000A0040">
            <w:r>
              <w:rPr>
                <w:sz w:val="20"/>
                <w:szCs w:val="20"/>
              </w:rPr>
              <w:t>Taux d'utilisation des alertes CRM par les conseillers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16457" w14:textId="77777777" w:rsidR="00E944AC" w:rsidRDefault="000A0040">
            <w:r>
              <w:rPr>
                <w:sz w:val="20"/>
                <w:szCs w:val="20"/>
              </w:rPr>
              <w:t>≥ 65 %</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D34AA1" w14:textId="77777777" w:rsidR="00E944AC" w:rsidRDefault="000A0040">
            <w:r>
              <w:rPr>
                <w:sz w:val="20"/>
                <w:szCs w:val="20"/>
              </w:rPr>
              <w:t>Logs CRM — rapport trimestriel</w:t>
            </w:r>
          </w:p>
        </w:tc>
      </w:tr>
      <w:tr w:rsidR="00E944AC" w14:paraId="6FFDC0F5" w14:textId="77777777">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150344" w14:textId="77777777" w:rsidR="00E944AC" w:rsidRDefault="000A0040">
            <w:r>
              <w:rPr>
                <w:sz w:val="20"/>
                <w:szCs w:val="20"/>
              </w:rPr>
              <w:t>Conformité validée avant déploiement pilote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2AFEA1" w14:textId="77777777" w:rsidR="00E944AC" w:rsidRDefault="000A0040">
            <w:r>
              <w:rPr>
                <w:sz w:val="20"/>
                <w:szCs w:val="20"/>
              </w:rPr>
              <w:t>100 % approbations</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771F6F" w14:textId="77777777" w:rsidR="00E944AC" w:rsidRDefault="000A0040">
            <w:r>
              <w:rPr>
                <w:sz w:val="20"/>
                <w:szCs w:val="20"/>
              </w:rPr>
              <w:t>Checklist conformité &amp; gouvernance</w:t>
            </w:r>
          </w:p>
        </w:tc>
      </w:tr>
    </w:tbl>
    <w:p w14:paraId="74E07CD3" w14:textId="77777777" w:rsidR="00E944AC" w:rsidRDefault="000A0040">
      <w:r>
        <w:br w:type="page"/>
      </w:r>
    </w:p>
    <w:p w14:paraId="63219460" w14:textId="77777777" w:rsidR="00E944AC" w:rsidRDefault="000A0040">
      <w:pPr>
        <w:pStyle w:val="Titre1"/>
        <w:pBdr>
          <w:bottom w:val="single" w:sz="8" w:space="4" w:color="00704A"/>
        </w:pBdr>
      </w:pPr>
      <w:r>
        <w:lastRenderedPageBreak/>
        <w:t>11. Risques et enjeux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8"/>
        <w:gridCol w:w="2443"/>
        <w:gridCol w:w="2901"/>
        <w:gridCol w:w="1477"/>
        <w:gridCol w:w="2121"/>
      </w:tblGrid>
      <w:tr w:rsidR="00E944AC" w14:paraId="08CABC35" w14:textId="77777777">
        <w:tc>
          <w:tcPr>
            <w:tcW w:w="200" w:type="dxa"/>
            <w:tcBorders>
              <w:top w:val="single" w:sz="1" w:space="0" w:color="CCCCCC"/>
              <w:left w:val="single" w:sz="1" w:space="0" w:color="CCCCCC"/>
              <w:bottom w:val="single" w:sz="1" w:space="0" w:color="CCCCCC"/>
              <w:right w:val="single" w:sz="1" w:space="0" w:color="CCCCCC"/>
            </w:tcBorders>
            <w:shd w:val="clear" w:color="auto" w:fill="00704A"/>
            <w:tcMar>
              <w:top w:w="80" w:type="dxa"/>
              <w:left w:w="100" w:type="dxa"/>
              <w:bottom w:w="80" w:type="dxa"/>
              <w:right w:w="100" w:type="dxa"/>
            </w:tcMar>
          </w:tcPr>
          <w:p w14:paraId="1A460C1B" w14:textId="77777777" w:rsidR="00E944AC" w:rsidRDefault="00E944AC"/>
        </w:tc>
        <w:tc>
          <w:tcPr>
            <w:tcW w:w="2500" w:type="dxa"/>
            <w:tcBorders>
              <w:top w:val="single" w:sz="1" w:space="0" w:color="CCCCCC"/>
              <w:left w:val="single" w:sz="1" w:space="0" w:color="CCCCCC"/>
              <w:bottom w:val="single" w:sz="1" w:space="0" w:color="CCCCCC"/>
              <w:right w:val="single" w:sz="1" w:space="0" w:color="CCCCCC"/>
            </w:tcBorders>
            <w:shd w:val="clear" w:color="auto" w:fill="00704A"/>
            <w:tcMar>
              <w:top w:w="80" w:type="dxa"/>
              <w:left w:w="100" w:type="dxa"/>
              <w:bottom w:w="80" w:type="dxa"/>
              <w:right w:w="100" w:type="dxa"/>
            </w:tcMar>
          </w:tcPr>
          <w:p w14:paraId="0C4B2A80" w14:textId="77777777" w:rsidR="00E944AC" w:rsidRDefault="000A0040">
            <w:r>
              <w:rPr>
                <w:b/>
                <w:bCs/>
                <w:color w:val="FFFFFF"/>
                <w:sz w:val="18"/>
                <w:szCs w:val="18"/>
              </w:rPr>
              <w:t>Risque</w:t>
            </w:r>
          </w:p>
        </w:tc>
        <w:tc>
          <w:tcPr>
            <w:tcW w:w="3000" w:type="dxa"/>
            <w:tcBorders>
              <w:top w:val="single" w:sz="1" w:space="0" w:color="CCCCCC"/>
              <w:left w:val="single" w:sz="1" w:space="0" w:color="CCCCCC"/>
              <w:bottom w:val="single" w:sz="1" w:space="0" w:color="CCCCCC"/>
              <w:right w:val="single" w:sz="1" w:space="0" w:color="CCCCCC"/>
            </w:tcBorders>
            <w:shd w:val="clear" w:color="auto" w:fill="00704A"/>
            <w:tcMar>
              <w:top w:w="80" w:type="dxa"/>
              <w:left w:w="100" w:type="dxa"/>
              <w:bottom w:w="80" w:type="dxa"/>
              <w:right w:w="100" w:type="dxa"/>
            </w:tcMar>
          </w:tcPr>
          <w:p w14:paraId="3AAA16F0" w14:textId="77777777" w:rsidR="00E944AC" w:rsidRDefault="000A0040">
            <w:r>
              <w:rPr>
                <w:b/>
                <w:bCs/>
                <w:color w:val="FFFFFF"/>
                <w:sz w:val="18"/>
                <w:szCs w:val="18"/>
              </w:rPr>
              <w:t>Impact potentiel</w:t>
            </w:r>
          </w:p>
        </w:tc>
        <w:tc>
          <w:tcPr>
            <w:tcW w:w="1500" w:type="dxa"/>
            <w:tcBorders>
              <w:top w:val="single" w:sz="1" w:space="0" w:color="CCCCCC"/>
              <w:left w:val="single" w:sz="1" w:space="0" w:color="CCCCCC"/>
              <w:bottom w:val="single" w:sz="1" w:space="0" w:color="CCCCCC"/>
              <w:right w:val="single" w:sz="1" w:space="0" w:color="CCCCCC"/>
            </w:tcBorders>
            <w:shd w:val="clear" w:color="auto" w:fill="00704A"/>
            <w:tcMar>
              <w:top w:w="80" w:type="dxa"/>
              <w:left w:w="100" w:type="dxa"/>
              <w:bottom w:w="80" w:type="dxa"/>
              <w:right w:w="100" w:type="dxa"/>
            </w:tcMar>
          </w:tcPr>
          <w:p w14:paraId="2A3ED5FF" w14:textId="77777777" w:rsidR="00E944AC" w:rsidRDefault="000A0040">
            <w:r>
              <w:rPr>
                <w:b/>
                <w:bCs/>
                <w:color w:val="FFFFFF"/>
                <w:sz w:val="18"/>
                <w:szCs w:val="18"/>
              </w:rPr>
              <w:t>Probabilité</w:t>
            </w:r>
          </w:p>
        </w:tc>
        <w:tc>
          <w:tcPr>
            <w:tcW w:w="2160" w:type="dxa"/>
            <w:tcBorders>
              <w:top w:val="single" w:sz="1" w:space="0" w:color="CCCCCC"/>
              <w:left w:val="single" w:sz="1" w:space="0" w:color="CCCCCC"/>
              <w:bottom w:val="single" w:sz="1" w:space="0" w:color="CCCCCC"/>
              <w:right w:val="single" w:sz="1" w:space="0" w:color="CCCCCC"/>
            </w:tcBorders>
            <w:shd w:val="clear" w:color="auto" w:fill="00704A"/>
            <w:tcMar>
              <w:top w:w="80" w:type="dxa"/>
              <w:left w:w="100" w:type="dxa"/>
              <w:bottom w:w="80" w:type="dxa"/>
              <w:right w:w="100" w:type="dxa"/>
            </w:tcMar>
          </w:tcPr>
          <w:p w14:paraId="47A46530" w14:textId="77777777" w:rsidR="00E944AC" w:rsidRDefault="000A0040">
            <w:r>
              <w:rPr>
                <w:b/>
                <w:bCs/>
                <w:color w:val="FFFFFF"/>
                <w:sz w:val="18"/>
                <w:szCs w:val="18"/>
              </w:rPr>
              <w:t>Mesure d'atténuation</w:t>
            </w:r>
          </w:p>
        </w:tc>
      </w:tr>
      <w:tr w:rsidR="00E944AC" w14:paraId="2A675B07" w14:textId="77777777">
        <w:tc>
          <w:tcPr>
            <w:tcW w:w="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4A2E198" w14:textId="77777777" w:rsidR="00E944AC" w:rsidRDefault="000A0040">
            <w:r>
              <w:rPr>
                <w:b/>
                <w:bCs/>
                <w:color w:val="000000"/>
                <w:sz w:val="17"/>
                <w:szCs w:val="17"/>
              </w:rPr>
              <w:t>R1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7B561BA" w14:textId="77777777" w:rsidR="00E944AC" w:rsidRDefault="000A0040">
            <w:r>
              <w:rPr>
                <w:color w:val="000000"/>
                <w:sz w:val="17"/>
                <w:szCs w:val="17"/>
              </w:rPr>
              <w:t>Qualité insuffisante des libellés de transactions pour l'identification des marchands concurrents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47310C8" w14:textId="77777777" w:rsidR="00E944AC" w:rsidRDefault="000A0040">
            <w:r>
              <w:rPr>
                <w:color w:val="000000"/>
                <w:sz w:val="17"/>
                <w:szCs w:val="17"/>
              </w:rPr>
              <w:t>Dégradation de la qualité des labels et des features NLP, impact sur AUC</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D57BE4C" w14:textId="77777777" w:rsidR="00E944AC" w:rsidRDefault="000A0040">
            <w:r>
              <w:rPr>
                <w:color w:val="8B5000"/>
                <w:sz w:val="17"/>
                <w:szCs w:val="17"/>
              </w:rPr>
              <w:t>Moyenne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A2C23D5" w14:textId="77777777" w:rsidR="00E944AC" w:rsidRDefault="000A0040">
            <w:r>
              <w:rPr>
                <w:color w:val="000000"/>
                <w:sz w:val="17"/>
                <w:szCs w:val="17"/>
              </w:rPr>
              <w:t>Phase de nettoyage et normalisation des libellés; enrichissement par liste de marchands référencée</w:t>
            </w:r>
          </w:p>
        </w:tc>
      </w:tr>
      <w:tr w:rsidR="00E944AC" w14:paraId="7F518F2D" w14:textId="77777777">
        <w:tc>
          <w:tcPr>
            <w:tcW w:w="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5A1BDB4E" w14:textId="77777777" w:rsidR="00E944AC" w:rsidRDefault="000A0040">
            <w:r>
              <w:rPr>
                <w:b/>
                <w:bCs/>
                <w:color w:val="000000"/>
                <w:sz w:val="17"/>
                <w:szCs w:val="17"/>
              </w:rPr>
              <w:t>R2</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79B92F47" w14:textId="77777777" w:rsidR="00E944AC" w:rsidRDefault="000A0040">
            <w:r>
              <w:rPr>
                <w:color w:val="000000"/>
                <w:sz w:val="17"/>
                <w:szCs w:val="17"/>
              </w:rPr>
              <w:t>Non-disponibilité des données de règlement granulaires (Global Payment)</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50579EDE" w14:textId="77777777" w:rsidR="00E944AC" w:rsidRDefault="000A0040">
            <w:r>
              <w:rPr>
                <w:color w:val="000000"/>
                <w:sz w:val="17"/>
                <w:szCs w:val="17"/>
              </w:rPr>
              <w:t>Impossibilité de détecter directement la migration vers Moneris/Square; recours à des proxies moins précis</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4C769007" w14:textId="77777777" w:rsidR="00E944AC" w:rsidRDefault="000A0040">
            <w:r>
              <w:rPr>
                <w:color w:val="CC0000"/>
                <w:sz w:val="17"/>
                <w:szCs w:val="17"/>
              </w:rPr>
              <w:t>Moyenne-haute</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7B802D2A" w14:textId="77777777" w:rsidR="00E944AC" w:rsidRDefault="000A0040">
            <w:r>
              <w:rPr>
                <w:color w:val="000000"/>
                <w:sz w:val="17"/>
                <w:szCs w:val="17"/>
              </w:rPr>
              <w:t>Validation dès la phase discovery avec l'équipe TI; développer une approche alternative par détection d'anomalie</w:t>
            </w:r>
          </w:p>
        </w:tc>
      </w:tr>
      <w:tr w:rsidR="00E944AC" w14:paraId="310DF620" w14:textId="77777777">
        <w:tc>
          <w:tcPr>
            <w:tcW w:w="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6EEB957" w14:textId="77777777" w:rsidR="00E944AC" w:rsidRDefault="000A0040">
            <w:r>
              <w:rPr>
                <w:b/>
                <w:bCs/>
                <w:color w:val="000000"/>
                <w:sz w:val="17"/>
                <w:szCs w:val="17"/>
              </w:rPr>
              <w:t>R3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F493285" w14:textId="77777777" w:rsidR="00E944AC" w:rsidRDefault="000A0040">
            <w:r>
              <w:rPr>
                <w:color w:val="000000"/>
                <w:sz w:val="17"/>
                <w:szCs w:val="17"/>
              </w:rPr>
              <w:t>Biais de modèle par secteur ou taille d'entreprise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623F227" w14:textId="77777777" w:rsidR="00E944AC" w:rsidRDefault="000A0040">
            <w:r>
              <w:rPr>
                <w:color w:val="000000"/>
                <w:sz w:val="17"/>
                <w:szCs w:val="17"/>
              </w:rPr>
              <w:t>Sur-sollicitation de certains segments; dégradation de l'expérience membre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C0DBA34" w14:textId="77777777" w:rsidR="00E944AC" w:rsidRDefault="000A0040">
            <w:r>
              <w:rPr>
                <w:color w:val="1A6B1A"/>
                <w:sz w:val="17"/>
                <w:szCs w:val="17"/>
              </w:rPr>
              <w:t>Faible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5AD366F" w14:textId="77777777" w:rsidR="00E944AC" w:rsidRDefault="000A0040">
            <w:r>
              <w:rPr>
                <w:color w:val="000000"/>
                <w:sz w:val="17"/>
                <w:szCs w:val="17"/>
              </w:rPr>
              <w:t>Évaluation des métriques de performance par sous-groupe; ajustements des seuils par segment</w:t>
            </w:r>
          </w:p>
        </w:tc>
      </w:tr>
      <w:tr w:rsidR="00E944AC" w14:paraId="394AAC0E" w14:textId="77777777">
        <w:tc>
          <w:tcPr>
            <w:tcW w:w="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7FA7ED22" w14:textId="77777777" w:rsidR="00E944AC" w:rsidRDefault="000A0040">
            <w:r>
              <w:rPr>
                <w:b/>
                <w:bCs/>
                <w:color w:val="000000"/>
                <w:sz w:val="17"/>
                <w:szCs w:val="17"/>
              </w:rPr>
              <w:t>R4</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68412470" w14:textId="77777777" w:rsidR="00E944AC" w:rsidRDefault="000A0040">
            <w:r>
              <w:rPr>
                <w:color w:val="000000"/>
                <w:sz w:val="17"/>
                <w:szCs w:val="17"/>
              </w:rPr>
              <w:t>Non-conformité Loi 25 sur l'utilisation des données comportementales</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261FDCE4" w14:textId="77777777" w:rsidR="00E944AC" w:rsidRDefault="000A0040">
            <w:r>
              <w:rPr>
                <w:color w:val="000000"/>
                <w:sz w:val="17"/>
                <w:szCs w:val="17"/>
              </w:rPr>
              <w:t>Blocage du déploiement; risque réputationnel</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2F69E880" w14:textId="77777777" w:rsidR="00E944AC" w:rsidRDefault="000A0040">
            <w:r>
              <w:rPr>
                <w:color w:val="1A6B1A"/>
                <w:sz w:val="17"/>
                <w:szCs w:val="17"/>
              </w:rPr>
              <w:t>Faible</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0D094FE5" w14:textId="77777777" w:rsidR="00E944AC" w:rsidRDefault="000A0040">
            <w:r>
              <w:rPr>
                <w:color w:val="000000"/>
                <w:sz w:val="17"/>
                <w:szCs w:val="17"/>
              </w:rPr>
              <w:t>Revue conformité en amont de la phase prototype; PIA si requis</w:t>
            </w:r>
          </w:p>
        </w:tc>
      </w:tr>
      <w:tr w:rsidR="00E944AC" w14:paraId="42D79E49" w14:textId="77777777">
        <w:tc>
          <w:tcPr>
            <w:tcW w:w="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0B760D8" w14:textId="77777777" w:rsidR="00E944AC" w:rsidRDefault="000A0040">
            <w:r>
              <w:rPr>
                <w:b/>
                <w:bCs/>
                <w:color w:val="000000"/>
                <w:sz w:val="17"/>
                <w:szCs w:val="17"/>
              </w:rPr>
              <w:t>R5</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60AE416" w14:textId="77777777" w:rsidR="00E944AC" w:rsidRDefault="000A0040">
            <w:r>
              <w:rPr>
                <w:color w:val="000000"/>
                <w:sz w:val="17"/>
                <w:szCs w:val="17"/>
              </w:rPr>
              <w:t>Résistance des conseillers à l'utilisation des alertes CRM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ADCDA83" w14:textId="77777777" w:rsidR="00E944AC" w:rsidRDefault="000A0040">
            <w:r>
              <w:rPr>
                <w:color w:val="000000"/>
                <w:sz w:val="17"/>
                <w:szCs w:val="17"/>
              </w:rPr>
              <w:t>Sous-utilisation du cas d'usage; absence d'impact sur les KPIs d'activation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5B7B39C" w14:textId="77777777" w:rsidR="00E944AC" w:rsidRDefault="000A0040">
            <w:r>
              <w:rPr>
                <w:color w:val="8B5000"/>
                <w:sz w:val="17"/>
                <w:szCs w:val="17"/>
              </w:rPr>
              <w:t>Moyenne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3724BED" w14:textId="77777777" w:rsidR="00E944AC" w:rsidRDefault="000A0040">
            <w:r>
              <w:rPr>
                <w:color w:val="000000"/>
                <w:sz w:val="17"/>
                <w:szCs w:val="17"/>
              </w:rPr>
              <w:t>Co-design du flux CRM avec des conseillers pilotes; formation et accompagnement au changement</w:t>
            </w:r>
          </w:p>
        </w:tc>
      </w:tr>
      <w:tr w:rsidR="00E944AC" w14:paraId="528CBE68" w14:textId="77777777">
        <w:tc>
          <w:tcPr>
            <w:tcW w:w="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64E03288" w14:textId="77777777" w:rsidR="00E944AC" w:rsidRDefault="000A0040">
            <w:r>
              <w:rPr>
                <w:b/>
                <w:bCs/>
                <w:color w:val="000000"/>
                <w:sz w:val="17"/>
                <w:szCs w:val="17"/>
              </w:rPr>
              <w:t>R6</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07FF6759" w14:textId="77777777" w:rsidR="00E944AC" w:rsidRDefault="000A0040">
            <w:r>
              <w:rPr>
                <w:color w:val="000000"/>
                <w:sz w:val="17"/>
                <w:szCs w:val="17"/>
              </w:rPr>
              <w:t>Dérive des modèles post-déploiement (changement du comportement concurrentiel)</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6C2C6FEF" w14:textId="77777777" w:rsidR="00E944AC" w:rsidRDefault="000A0040">
            <w:r>
              <w:rPr>
                <w:color w:val="000000"/>
                <w:sz w:val="17"/>
                <w:szCs w:val="17"/>
              </w:rPr>
              <w:t>Dégradation silencieuse de la performance des modèles</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7FCF2346" w14:textId="77777777" w:rsidR="00E944AC" w:rsidRDefault="000A0040">
            <w:r>
              <w:rPr>
                <w:color w:val="1A6B1A"/>
                <w:sz w:val="17"/>
                <w:szCs w:val="17"/>
              </w:rPr>
              <w:t>Faible-moyenne</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48893395" w14:textId="77777777" w:rsidR="00E944AC" w:rsidRDefault="000A0040">
            <w:r>
              <w:rPr>
                <w:color w:val="000000"/>
                <w:sz w:val="17"/>
                <w:szCs w:val="17"/>
              </w:rPr>
              <w:t>Monitoring mensuel des métriques; processus de réentraînement déclenché automatiquement</w:t>
            </w:r>
          </w:p>
        </w:tc>
      </w:tr>
    </w:tbl>
    <w:p w14:paraId="7C718F78" w14:textId="77777777" w:rsidR="00E944AC" w:rsidRDefault="000A0040">
      <w:r>
        <w:br w:type="page"/>
      </w:r>
    </w:p>
    <w:p w14:paraId="2B99D9D1" w14:textId="77777777" w:rsidR="00E944AC" w:rsidRDefault="000A0040">
      <w:pPr>
        <w:pStyle w:val="Titre1"/>
        <w:pBdr>
          <w:bottom w:val="single" w:sz="8" w:space="4" w:color="00704A"/>
        </w:pBdr>
      </w:pPr>
      <w:r>
        <w:lastRenderedPageBreak/>
        <w:t>12. Feuille de route de développement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00"/>
        <w:gridCol w:w="4000"/>
        <w:gridCol w:w="1960"/>
      </w:tblGrid>
      <w:tr w:rsidR="00E944AC" w14:paraId="37AB816E" w14:textId="77777777">
        <w:tc>
          <w:tcPr>
            <w:tcW w:w="180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20" w:type="dxa"/>
              <w:bottom w:w="80" w:type="dxa"/>
              <w:right w:w="120" w:type="dxa"/>
            </w:tcMar>
          </w:tcPr>
          <w:p w14:paraId="4845FE11" w14:textId="77777777" w:rsidR="00E944AC" w:rsidRDefault="000A0040">
            <w:r>
              <w:rPr>
                <w:b/>
                <w:bCs/>
                <w:color w:val="FFFFFF"/>
                <w:sz w:val="20"/>
                <w:szCs w:val="20"/>
              </w:rPr>
              <w:t>Phase</w:t>
            </w:r>
          </w:p>
        </w:tc>
        <w:tc>
          <w:tcPr>
            <w:tcW w:w="160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20" w:type="dxa"/>
              <w:bottom w:w="80" w:type="dxa"/>
              <w:right w:w="120" w:type="dxa"/>
            </w:tcMar>
          </w:tcPr>
          <w:p w14:paraId="4030B588" w14:textId="77777777" w:rsidR="00E944AC" w:rsidRDefault="000A0040">
            <w:r>
              <w:rPr>
                <w:b/>
                <w:bCs/>
                <w:color w:val="FFFFFF"/>
                <w:sz w:val="20"/>
                <w:szCs w:val="20"/>
              </w:rPr>
              <w:t>Période</w:t>
            </w:r>
          </w:p>
        </w:tc>
        <w:tc>
          <w:tcPr>
            <w:tcW w:w="400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20" w:type="dxa"/>
              <w:bottom w:w="80" w:type="dxa"/>
              <w:right w:w="120" w:type="dxa"/>
            </w:tcMar>
          </w:tcPr>
          <w:p w14:paraId="27B0F6B4" w14:textId="77777777" w:rsidR="00E944AC" w:rsidRDefault="000A0040">
            <w:r>
              <w:rPr>
                <w:b/>
                <w:bCs/>
                <w:color w:val="FFFFFF"/>
                <w:sz w:val="20"/>
                <w:szCs w:val="20"/>
              </w:rPr>
              <w:t>Activités clés</w:t>
            </w:r>
          </w:p>
        </w:tc>
        <w:tc>
          <w:tcPr>
            <w:tcW w:w="196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20" w:type="dxa"/>
              <w:bottom w:w="80" w:type="dxa"/>
              <w:right w:w="120" w:type="dxa"/>
            </w:tcMar>
          </w:tcPr>
          <w:p w14:paraId="4AF51821" w14:textId="77777777" w:rsidR="00E944AC" w:rsidRDefault="000A0040">
            <w:r>
              <w:rPr>
                <w:b/>
                <w:bCs/>
                <w:color w:val="FFFFFF"/>
                <w:sz w:val="20"/>
                <w:szCs w:val="20"/>
              </w:rPr>
              <w:t>Livrable</w:t>
            </w:r>
          </w:p>
        </w:tc>
      </w:tr>
      <w:tr w:rsidR="00E944AC" w14:paraId="3D44534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131D3" w14:textId="77777777" w:rsidR="00E944AC" w:rsidRDefault="000A0040">
            <w:r>
              <w:rPr>
                <w:b/>
                <w:bCs/>
                <w:color w:val="00704A"/>
                <w:sz w:val="20"/>
                <w:szCs w:val="20"/>
              </w:rPr>
              <w:t>Phase 1 Discovery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155D3" w14:textId="77777777" w:rsidR="00E944AC" w:rsidRDefault="000A0040">
            <w:r>
              <w:rPr>
                <w:color w:val="000000"/>
                <w:sz w:val="19"/>
                <w:szCs w:val="19"/>
              </w:rPr>
              <w:t>T3–T4 2025</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66841" w14:textId="77777777" w:rsidR="00E944AC" w:rsidRDefault="000A0040">
            <w:r>
              <w:rPr>
                <w:color w:val="000000"/>
                <w:sz w:val="19"/>
                <w:szCs w:val="19"/>
              </w:rPr>
              <w:t>Inventaire et évaluation des sources de données disponibles; analyse de la qualité des libellés transactionnels; entretiens avec les conseillers pour collecte de labels initiaux; revue conformité préliminaire; validation de la disponibilité des données de règlement (Global Payment); rédaction du cahier des charges technique</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A4EF9" w14:textId="77777777" w:rsidR="00E944AC" w:rsidRDefault="000A0040">
            <w:r>
              <w:rPr>
                <w:color w:val="000000"/>
                <w:sz w:val="19"/>
                <w:szCs w:val="19"/>
              </w:rPr>
              <w:t>Cahier des charges &amp; rapport de faisabilité</w:t>
            </w:r>
          </w:p>
        </w:tc>
      </w:tr>
      <w:tr w:rsidR="00E944AC" w14:paraId="6D4B44CE"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013B2303" w14:textId="77777777" w:rsidR="00E944AC" w:rsidRDefault="000A0040">
            <w:r>
              <w:rPr>
                <w:b/>
                <w:bCs/>
                <w:color w:val="00704A"/>
                <w:sz w:val="20"/>
                <w:szCs w:val="20"/>
              </w:rPr>
              <w:t>Phase 2 Prototype</w:t>
            </w:r>
          </w:p>
        </w:tc>
        <w:tc>
          <w:tcPr>
            <w:tcW w:w="16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54BACC42" w14:textId="77777777" w:rsidR="00E944AC" w:rsidRDefault="000A0040">
            <w:r>
              <w:rPr>
                <w:color w:val="000000"/>
                <w:sz w:val="19"/>
                <w:szCs w:val="19"/>
              </w:rPr>
              <w:t>T1–T2 2026</w:t>
            </w:r>
          </w:p>
        </w:tc>
        <w:tc>
          <w:tcPr>
            <w:tcW w:w="40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1D3AD33A" w14:textId="77777777" w:rsidR="00E944AC" w:rsidRDefault="000A0040">
            <w:r>
              <w:rPr>
                <w:color w:val="000000"/>
                <w:sz w:val="19"/>
                <w:szCs w:val="19"/>
              </w:rPr>
              <w:t>Développement des features engineering sur données historiques; construction des premiers modèles de propension pour 4 catégories pilotes (financement, paie, Global Payment, transfert d'entreprises); évaluation des performances sur données de validation; itérations sur la stratégie de labellisation; présentation au comité analytique PVP</w:t>
            </w:r>
          </w:p>
        </w:tc>
        <w:tc>
          <w:tcPr>
            <w:tcW w:w="196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74C60F70" w14:textId="77777777" w:rsidR="00E944AC" w:rsidRDefault="000A0040">
            <w:r>
              <w:rPr>
                <w:color w:val="000000"/>
                <w:sz w:val="19"/>
                <w:szCs w:val="19"/>
              </w:rPr>
              <w:t>Prototype validé — 4 catégories</w:t>
            </w:r>
          </w:p>
        </w:tc>
      </w:tr>
      <w:tr w:rsidR="00E944AC" w14:paraId="0B5359C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9B7C42" w14:textId="77777777" w:rsidR="00E944AC" w:rsidRDefault="000A0040">
            <w:r>
              <w:rPr>
                <w:b/>
                <w:bCs/>
                <w:color w:val="00704A"/>
                <w:sz w:val="20"/>
                <w:szCs w:val="20"/>
              </w:rPr>
              <w:t>Phase 3 Extension &amp; validation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ADFB3" w14:textId="77777777" w:rsidR="00E944AC" w:rsidRDefault="000A0040">
            <w:r>
              <w:rPr>
                <w:color w:val="000000"/>
                <w:sz w:val="19"/>
                <w:szCs w:val="19"/>
              </w:rPr>
              <w:t>T3 2026</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482E9" w14:textId="77777777" w:rsidR="00E944AC" w:rsidRDefault="000A0040">
            <w:r>
              <w:rPr>
                <w:color w:val="000000"/>
                <w:sz w:val="19"/>
                <w:szCs w:val="19"/>
              </w:rPr>
              <w:t>Extension du modèle aux 8 catégories restantes; validation terrain (annotation par conseillers sur échantillon); revue formelle conformité &amp; gouvernance; développement du tableau de bord de monitoring; préparation de l'intégration CRM</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EF6EA" w14:textId="77777777" w:rsidR="00E944AC" w:rsidRDefault="000A0040">
            <w:r>
              <w:rPr>
                <w:color w:val="000000"/>
                <w:sz w:val="19"/>
                <w:szCs w:val="19"/>
              </w:rPr>
              <w:t>12 modèles validés + approbation conformité</w:t>
            </w:r>
          </w:p>
        </w:tc>
      </w:tr>
      <w:tr w:rsidR="00E944AC" w14:paraId="105BAA21"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17A8215B" w14:textId="77777777" w:rsidR="00E944AC" w:rsidRDefault="000A0040">
            <w:r>
              <w:rPr>
                <w:b/>
                <w:bCs/>
                <w:color w:val="00704A"/>
                <w:sz w:val="20"/>
                <w:szCs w:val="20"/>
              </w:rPr>
              <w:t>Phase 4 Pilote terrain</w:t>
            </w:r>
          </w:p>
        </w:tc>
        <w:tc>
          <w:tcPr>
            <w:tcW w:w="16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28144F6A" w14:textId="77777777" w:rsidR="00E944AC" w:rsidRDefault="000A0040">
            <w:r>
              <w:rPr>
                <w:color w:val="000000"/>
                <w:sz w:val="19"/>
                <w:szCs w:val="19"/>
              </w:rPr>
              <w:t>T4 2026</w:t>
            </w:r>
          </w:p>
        </w:tc>
        <w:tc>
          <w:tcPr>
            <w:tcW w:w="40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2E37678E" w14:textId="77777777" w:rsidR="00E944AC" w:rsidRDefault="000A0040">
            <w:r>
              <w:rPr>
                <w:color w:val="000000"/>
                <w:sz w:val="19"/>
                <w:szCs w:val="19"/>
              </w:rPr>
              <w:t>Déploiement limité (2-3 caisses pilotes ou portefeuilles conseillers sélectionnés); activation des alertes CRM; mesure du taux d'utilisation conseiller; collecte du feedback terrain; ajustements des seuils et de l'interface CRM; rapport pilote</w:t>
            </w:r>
          </w:p>
        </w:tc>
        <w:tc>
          <w:tcPr>
            <w:tcW w:w="196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1E8C8875" w14:textId="77777777" w:rsidR="00E944AC" w:rsidRDefault="000A0040">
            <w:r>
              <w:rPr>
                <w:color w:val="000000"/>
                <w:sz w:val="19"/>
                <w:szCs w:val="19"/>
              </w:rPr>
              <w:t>Rapport pilote + go/no-go déploiement</w:t>
            </w:r>
          </w:p>
        </w:tc>
      </w:tr>
      <w:tr w:rsidR="00E944AC" w14:paraId="2EFA86B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A5B41" w14:textId="77777777" w:rsidR="00E944AC" w:rsidRDefault="000A0040">
            <w:r>
              <w:rPr>
                <w:b/>
                <w:bCs/>
                <w:color w:val="00704A"/>
                <w:sz w:val="20"/>
                <w:szCs w:val="20"/>
              </w:rPr>
              <w:t>Phase 5 Déploiement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B86FB" w14:textId="77777777" w:rsidR="00E944AC" w:rsidRDefault="000A0040">
            <w:r>
              <w:rPr>
                <w:color w:val="000000"/>
                <w:sz w:val="19"/>
                <w:szCs w:val="19"/>
              </w:rPr>
              <w:t>T1 2027</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63821" w14:textId="77777777" w:rsidR="00E944AC" w:rsidRDefault="000A0040">
            <w:r>
              <w:rPr>
                <w:color w:val="000000"/>
                <w:sz w:val="19"/>
                <w:szCs w:val="19"/>
              </w:rPr>
              <w:t>Déploiement à l'ensemble de la population membres entreprises actifs; intégration complète CRM; lancement des campagnes de rétention sur les catégories prioritaires; formation des conseillers; mise en place du monitoring continu</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427DF" w14:textId="77777777" w:rsidR="00E944AC" w:rsidRDefault="000A0040">
            <w:r>
              <w:rPr>
                <w:color w:val="000000"/>
                <w:sz w:val="19"/>
                <w:szCs w:val="19"/>
              </w:rPr>
              <w:t>Opérationnalisation complète — 2027</w:t>
            </w:r>
          </w:p>
        </w:tc>
      </w:tr>
    </w:tbl>
    <w:p w14:paraId="5C0E886C" w14:textId="77777777" w:rsidR="00E944AC" w:rsidRDefault="00E944AC">
      <w:pPr>
        <w:spacing w:after="80"/>
      </w:pPr>
    </w:p>
    <w:p w14:paraId="349479B1" w14:textId="77777777" w:rsidR="00E944AC" w:rsidRDefault="00E944AC">
      <w:pPr>
        <w:spacing w:after="80"/>
      </w:pPr>
    </w:p>
    <w:p w14:paraId="3F0D48B4" w14:textId="77777777" w:rsidR="00E944AC" w:rsidRDefault="000A0040">
      <w:pPr>
        <w:pStyle w:val="Titre1"/>
        <w:pBdr>
          <w:bottom w:val="single" w:sz="8" w:space="4" w:color="00704A"/>
        </w:pBdr>
      </w:pPr>
      <w:r>
        <w:t>13. Hypothèses et contraintes</w:t>
      </w:r>
    </w:p>
    <w:p w14:paraId="7BAAED37" w14:textId="77777777" w:rsidR="00E944AC" w:rsidRDefault="000A0040">
      <w:pPr>
        <w:pStyle w:val="Titre2"/>
      </w:pPr>
      <w:r>
        <w:t>Hypothèses de travail</w:t>
      </w:r>
    </w:p>
    <w:p w14:paraId="675B504A" w14:textId="77777777" w:rsidR="00E944AC" w:rsidRDefault="000A0040">
      <w:pPr>
        <w:pStyle w:val="Paragraphedeliste"/>
        <w:numPr>
          <w:ilvl w:val="0"/>
          <w:numId w:val="3"/>
        </w:numPr>
        <w:spacing w:before="40" w:after="40"/>
      </w:pPr>
      <w:r>
        <w:t>Les données transactionnelles des comptes commerciaux Desjardins contiennent suffisamment de granularité dans les libellés de contreparties pour permettre l'identification des marchands et institutions concurrents par NLP.</w:t>
      </w:r>
    </w:p>
    <w:p w14:paraId="352403B8" w14:textId="77777777" w:rsidR="00E944AC" w:rsidRDefault="000A0040">
      <w:pPr>
        <w:pStyle w:val="Paragraphedeliste"/>
        <w:numPr>
          <w:ilvl w:val="0"/>
          <w:numId w:val="3"/>
        </w:numPr>
        <w:spacing w:before="40" w:after="40"/>
      </w:pPr>
      <w:r>
        <w:t>Les données de portefeuille CRM sont à jour et cohérentes entre les différents systèmes sources (core banking, CRM, plateformes produits).</w:t>
      </w:r>
    </w:p>
    <w:p w14:paraId="41AF85B5" w14:textId="77777777" w:rsidR="00E944AC" w:rsidRDefault="000A0040">
      <w:pPr>
        <w:pStyle w:val="Paragraphedeliste"/>
        <w:numPr>
          <w:ilvl w:val="0"/>
          <w:numId w:val="3"/>
        </w:numPr>
        <w:spacing w:before="40" w:after="40"/>
      </w:pPr>
      <w:r>
        <w:lastRenderedPageBreak/>
        <w:t>Une proportion suffisante de membres (estimée à ≥ 5-10 %) présente des signaux directs ou des labels confirmés de détention de produits concurrents, permettant d'entraîner des modèles avec une performance acceptable.</w:t>
      </w:r>
    </w:p>
    <w:p w14:paraId="05A93EC2" w14:textId="77777777" w:rsidR="00E944AC" w:rsidRDefault="000A0040">
      <w:pPr>
        <w:pStyle w:val="Paragraphedeliste"/>
        <w:numPr>
          <w:ilvl w:val="0"/>
          <w:numId w:val="3"/>
        </w:numPr>
        <w:spacing w:before="40" w:after="40"/>
      </w:pPr>
      <w:r>
        <w:t>Les conseillers entreprises disposent du temps et de la motivation pour participer à la phase d'annotation de labels et au pilote terrain, avec le soutien de leurs gestionnaires.</w:t>
      </w:r>
    </w:p>
    <w:p w14:paraId="48D94F53" w14:textId="77777777" w:rsidR="00E944AC" w:rsidRDefault="000A0040">
      <w:pPr>
        <w:pStyle w:val="Paragraphedeliste"/>
        <w:numPr>
          <w:ilvl w:val="0"/>
          <w:numId w:val="3"/>
        </w:numPr>
        <w:spacing w:before="40" w:after="40"/>
      </w:pPr>
      <w:r>
        <w:t>Les équipes TI peuvent fournir un accès aux données nécessaires dans les délais de la feuille de route, dans le cadre des processus de gouvernance des données en vigueur.</w:t>
      </w:r>
    </w:p>
    <w:p w14:paraId="53C4FB7E" w14:textId="77777777" w:rsidR="00E944AC" w:rsidRDefault="000A0040">
      <w:pPr>
        <w:pStyle w:val="Titre2"/>
      </w:pPr>
      <w:r>
        <w:t>Contraintes connues</w:t>
      </w:r>
    </w:p>
    <w:p w14:paraId="46F0F088" w14:textId="77777777" w:rsidR="00E944AC" w:rsidRDefault="000A0040">
      <w:pPr>
        <w:pStyle w:val="Paragraphedeliste"/>
        <w:numPr>
          <w:ilvl w:val="0"/>
          <w:numId w:val="3"/>
        </w:numPr>
        <w:spacing w:before="40" w:after="40"/>
      </w:pPr>
      <w:r>
        <w:t>Loi 25 (Québec) : l'utilisation des données comportementales membres à des fins d'analyse concurrentielle nécessite une revue formelle. La base légale (intérêt légitime vs consentement) doit être clarifiée avant le prototype.</w:t>
      </w:r>
    </w:p>
    <w:p w14:paraId="2448707E" w14:textId="77777777" w:rsidR="00E944AC" w:rsidRDefault="000A0040">
      <w:pPr>
        <w:pStyle w:val="Paragraphedeliste"/>
        <w:numPr>
          <w:ilvl w:val="0"/>
          <w:numId w:val="3"/>
        </w:numPr>
        <w:spacing w:before="40" w:after="40"/>
      </w:pPr>
      <w:r>
        <w:t>Identifiant membre entreprise : la gestion des groupes corporatifs, filiales et structures multi-entités est un défi technique connu qui peut affecter la qualité des features au niveau du groupe.</w:t>
      </w:r>
    </w:p>
    <w:p w14:paraId="0A105882" w14:textId="77777777" w:rsidR="00E944AC" w:rsidRDefault="000A0040">
      <w:pPr>
        <w:pStyle w:val="Paragraphedeliste"/>
        <w:numPr>
          <w:ilvl w:val="0"/>
          <w:numId w:val="3"/>
        </w:numPr>
        <w:spacing w:before="40" w:after="40"/>
      </w:pPr>
      <w:r>
        <w:t>Disponibilité des données de règlement (Global Payment) : non confirmée à ce stade — constitue un risque critique pour la détectabilité du produit 12.</w:t>
      </w:r>
    </w:p>
    <w:p w14:paraId="302038B0" w14:textId="77777777" w:rsidR="00E944AC" w:rsidRDefault="000A0040">
      <w:pPr>
        <w:pStyle w:val="Paragraphedeliste"/>
        <w:numPr>
          <w:ilvl w:val="0"/>
          <w:numId w:val="3"/>
        </w:numPr>
        <w:spacing w:before="40" w:after="40"/>
      </w:pPr>
      <w:r>
        <w:t>Capacité analytique : le développement de 12 modèles en parallèle nécessite une équipe dédiée. La priorisation séquentielle par catégorie est une option de repli si les ressources sont limitées.</w:t>
      </w:r>
    </w:p>
    <w:p w14:paraId="5F2B7A06" w14:textId="77777777" w:rsidR="00E944AC" w:rsidRDefault="000A0040">
      <w:pPr>
        <w:pStyle w:val="Paragraphedeliste"/>
        <w:numPr>
          <w:ilvl w:val="0"/>
          <w:numId w:val="3"/>
        </w:numPr>
        <w:spacing w:before="40" w:after="40"/>
      </w:pPr>
      <w:r>
        <w:t>Horizon 2027 : la feuille de route est réaliste sous réserve de l'obtention des accès aux données et des approbations conformité dans les délais prévus à la phase Discovery (T3-T4 2025).</w:t>
      </w:r>
    </w:p>
    <w:p w14:paraId="21F519F7" w14:textId="77777777" w:rsidR="00E944AC" w:rsidRDefault="00E944AC">
      <w:pPr>
        <w:spacing w:after="80"/>
      </w:pPr>
    </w:p>
    <w:p w14:paraId="52F1CDC7" w14:textId="77777777" w:rsidR="00E944AC" w:rsidRDefault="00E944AC">
      <w:pPr>
        <w:spacing w:after="80"/>
      </w:pPr>
    </w:p>
    <w:p w14:paraId="21703C36" w14:textId="77777777" w:rsidR="00E944AC" w:rsidRDefault="000A0040">
      <w:pPr>
        <w:pStyle w:val="Titre1"/>
        <w:pBdr>
          <w:bottom w:val="single" w:sz="8" w:space="4" w:color="00704A"/>
        </w:pBdr>
      </w:pPr>
      <w:r>
        <w:t>Approbations et validation</w:t>
      </w:r>
    </w:p>
    <w:p w14:paraId="69C2B330" w14:textId="77777777" w:rsidR="00E944AC" w:rsidRDefault="000A0040">
      <w:pPr>
        <w:spacing w:before="60" w:after="80"/>
      </w:pPr>
      <w:r>
        <w:t>Ce document doit être soumis aux parties prenantes suivantes pour validation avant le lancement de la Phase 1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500"/>
        <w:gridCol w:w="2000"/>
        <w:gridCol w:w="1660"/>
      </w:tblGrid>
      <w:tr w:rsidR="00E944AC" w14:paraId="05937824" w14:textId="77777777">
        <w:tc>
          <w:tcPr>
            <w:tcW w:w="320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20" w:type="dxa"/>
              <w:bottom w:w="80" w:type="dxa"/>
              <w:right w:w="120" w:type="dxa"/>
            </w:tcMar>
          </w:tcPr>
          <w:p w14:paraId="6D6134E4" w14:textId="77777777" w:rsidR="00E944AC" w:rsidRDefault="000A0040">
            <w:r>
              <w:rPr>
                <w:b/>
                <w:bCs/>
                <w:color w:val="FFFFFF"/>
                <w:sz w:val="20"/>
                <w:szCs w:val="20"/>
              </w:rPr>
              <w:t>Partie prenante</w:t>
            </w:r>
          </w:p>
        </w:tc>
        <w:tc>
          <w:tcPr>
            <w:tcW w:w="250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20" w:type="dxa"/>
              <w:bottom w:w="80" w:type="dxa"/>
              <w:right w:w="120" w:type="dxa"/>
            </w:tcMar>
          </w:tcPr>
          <w:p w14:paraId="453703B7" w14:textId="77777777" w:rsidR="00E944AC" w:rsidRDefault="000A0040">
            <w:r>
              <w:rPr>
                <w:b/>
                <w:bCs/>
                <w:color w:val="FFFFFF"/>
                <w:sz w:val="20"/>
                <w:szCs w:val="20"/>
              </w:rPr>
              <w:t>Nom / Titre</w:t>
            </w:r>
          </w:p>
        </w:tc>
        <w:tc>
          <w:tcPr>
            <w:tcW w:w="200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20" w:type="dxa"/>
              <w:bottom w:w="80" w:type="dxa"/>
              <w:right w:w="120" w:type="dxa"/>
            </w:tcMar>
          </w:tcPr>
          <w:p w14:paraId="6A966B1B" w14:textId="77777777" w:rsidR="00E944AC" w:rsidRDefault="000A0040">
            <w:r>
              <w:rPr>
                <w:b/>
                <w:bCs/>
                <w:color w:val="FFFFFF"/>
                <w:sz w:val="20"/>
                <w:szCs w:val="20"/>
              </w:rPr>
              <w:t>Date</w:t>
            </w:r>
          </w:p>
        </w:tc>
        <w:tc>
          <w:tcPr>
            <w:tcW w:w="166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20" w:type="dxa"/>
              <w:bottom w:w="80" w:type="dxa"/>
              <w:right w:w="120" w:type="dxa"/>
            </w:tcMar>
          </w:tcPr>
          <w:p w14:paraId="2797CCAB" w14:textId="77777777" w:rsidR="00E944AC" w:rsidRDefault="000A0040">
            <w:r>
              <w:rPr>
                <w:b/>
                <w:bCs/>
                <w:color w:val="FFFFFF"/>
                <w:sz w:val="20"/>
                <w:szCs w:val="20"/>
              </w:rPr>
              <w:t>Signature</w:t>
            </w:r>
          </w:p>
        </w:tc>
      </w:tr>
      <w:tr w:rsidR="00E944AC" w14:paraId="3D5C2CBA"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0574C384" w14:textId="77777777" w:rsidR="00E944AC" w:rsidRDefault="000A0040">
            <w:r>
              <w:rPr>
                <w:b/>
                <w:bCs/>
                <w:sz w:val="20"/>
                <w:szCs w:val="20"/>
              </w:rPr>
              <w:t>Sponsor d'affaires PVP Entreprises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6B7D4889" w14:textId="77777777" w:rsidR="00E944AC" w:rsidRDefault="00E944AC"/>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4054A8B4" w14:textId="77777777" w:rsidR="00E944AC" w:rsidRDefault="00E944AC"/>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0AD8E1D4" w14:textId="77777777" w:rsidR="00E944AC" w:rsidRDefault="00E944AC"/>
        </w:tc>
      </w:tr>
      <w:tr w:rsidR="00E944AC" w14:paraId="25E96E9A"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20" w:type="dxa"/>
              <w:bottom w:w="120" w:type="dxa"/>
              <w:right w:w="120" w:type="dxa"/>
            </w:tcMar>
          </w:tcPr>
          <w:p w14:paraId="142CA394" w14:textId="77777777" w:rsidR="00E944AC" w:rsidRDefault="000A0040">
            <w:r>
              <w:rPr>
                <w:b/>
                <w:bCs/>
                <w:sz w:val="20"/>
                <w:szCs w:val="20"/>
              </w:rPr>
              <w:t>Responsable équipe analytique</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20" w:type="dxa"/>
              <w:bottom w:w="120" w:type="dxa"/>
              <w:right w:w="120" w:type="dxa"/>
            </w:tcMar>
          </w:tcPr>
          <w:p w14:paraId="0F8C2D99" w14:textId="77777777" w:rsidR="00E944AC" w:rsidRDefault="00E944AC"/>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20" w:type="dxa"/>
              <w:bottom w:w="120" w:type="dxa"/>
              <w:right w:w="120" w:type="dxa"/>
            </w:tcMar>
          </w:tcPr>
          <w:p w14:paraId="0FBE0F57" w14:textId="77777777" w:rsidR="00E944AC" w:rsidRDefault="00E944AC"/>
        </w:tc>
        <w:tc>
          <w:tcPr>
            <w:tcW w:w="16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20" w:type="dxa"/>
              <w:bottom w:w="120" w:type="dxa"/>
              <w:right w:w="120" w:type="dxa"/>
            </w:tcMar>
          </w:tcPr>
          <w:p w14:paraId="095F3E65" w14:textId="77777777" w:rsidR="00E944AC" w:rsidRDefault="00E944AC"/>
        </w:tc>
      </w:tr>
      <w:tr w:rsidR="00E944AC" w14:paraId="7899E789"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0744CF7C" w14:textId="77777777" w:rsidR="00E944AC" w:rsidRDefault="000A0040">
            <w:r>
              <w:rPr>
                <w:b/>
                <w:bCs/>
                <w:sz w:val="20"/>
                <w:szCs w:val="20"/>
              </w:rPr>
              <w:t>Gouvernance des données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75D86ABC" w14:textId="77777777" w:rsidR="00E944AC" w:rsidRDefault="00E944AC"/>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0A83B253" w14:textId="77777777" w:rsidR="00E944AC" w:rsidRDefault="00E944AC"/>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795CCFB9" w14:textId="77777777" w:rsidR="00E944AC" w:rsidRDefault="00E944AC"/>
        </w:tc>
      </w:tr>
      <w:tr w:rsidR="00E944AC" w14:paraId="146DF03D"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20" w:type="dxa"/>
              <w:bottom w:w="120" w:type="dxa"/>
              <w:right w:w="120" w:type="dxa"/>
            </w:tcMar>
          </w:tcPr>
          <w:p w14:paraId="4354725F" w14:textId="77777777" w:rsidR="00E944AC" w:rsidRDefault="000A0040">
            <w:r>
              <w:rPr>
                <w:b/>
                <w:bCs/>
                <w:sz w:val="20"/>
                <w:szCs w:val="20"/>
              </w:rPr>
              <w:t>Conformité &amp; Vie privée</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20" w:type="dxa"/>
              <w:bottom w:w="120" w:type="dxa"/>
              <w:right w:w="120" w:type="dxa"/>
            </w:tcMar>
          </w:tcPr>
          <w:p w14:paraId="19B48D3E" w14:textId="77777777" w:rsidR="00E944AC" w:rsidRDefault="00E944AC"/>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20" w:type="dxa"/>
              <w:bottom w:w="120" w:type="dxa"/>
              <w:right w:w="120" w:type="dxa"/>
            </w:tcMar>
          </w:tcPr>
          <w:p w14:paraId="3E9B3820" w14:textId="77777777" w:rsidR="00E944AC" w:rsidRDefault="00E944AC"/>
        </w:tc>
        <w:tc>
          <w:tcPr>
            <w:tcW w:w="16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20" w:type="dxa"/>
              <w:bottom w:w="120" w:type="dxa"/>
              <w:right w:w="120" w:type="dxa"/>
            </w:tcMar>
          </w:tcPr>
          <w:p w14:paraId="63C4EABB" w14:textId="77777777" w:rsidR="00E944AC" w:rsidRDefault="00E944AC"/>
        </w:tc>
      </w:tr>
    </w:tbl>
    <w:p w14:paraId="58A601A4" w14:textId="77777777" w:rsidR="00E944AC" w:rsidRDefault="00E944AC">
      <w:pPr>
        <w:spacing w:after="80"/>
      </w:pPr>
    </w:p>
    <w:p w14:paraId="7399D43B" w14:textId="77777777" w:rsidR="00E944AC" w:rsidRDefault="00E944AC">
      <w:pPr>
        <w:spacing w:after="80"/>
      </w:pPr>
    </w:p>
    <w:p w14:paraId="6F6FCB99" w14:textId="77777777" w:rsidR="00E944AC" w:rsidRDefault="000A0040">
      <w:pPr>
        <w:spacing w:before="240"/>
        <w:jc w:val="center"/>
      </w:pPr>
      <w:r>
        <w:rPr>
          <w:i/>
          <w:iCs/>
          <w:color w:val="888888"/>
          <w:sz w:val="18"/>
          <w:szCs w:val="18"/>
        </w:rPr>
        <w:t>Document CONFIDENTIEL — Usage interne Desjardins seulement</w:t>
      </w:r>
    </w:p>
    <w:p w14:paraId="2EE2A9A4" w14:textId="77777777" w:rsidR="00E944AC" w:rsidRDefault="000A0040">
      <w:pPr>
        <w:spacing w:before="40"/>
        <w:jc w:val="center"/>
      </w:pPr>
      <w:r>
        <w:rPr>
          <w:color w:val="AAAAAA"/>
          <w:sz w:val="18"/>
          <w:szCs w:val="18"/>
        </w:rPr>
        <w:t>PVP Entreprises — Équipes analytiques | Version 1.0 | Juin 2025</w:t>
      </w:r>
    </w:p>
    <w:sectPr w:rsidR="00E944AC">
      <w:headerReference w:type="default" r:id="rId11"/>
      <w:footerReference w:type="default" r:id="rId12"/>
      <w:pgSz w:w="12240" w:h="15840"/>
      <w:pgMar w:top="1080" w:right="1260" w:bottom="1080" w:left="126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leo basile" w:date="2026-05-16T18:16:00Z" w:initials="lb">
    <w:p w14:paraId="1103E4E7" w14:textId="77777777" w:rsidR="00F12C62" w:rsidRDefault="00F12C62" w:rsidP="00F12C62">
      <w:pPr>
        <w:pStyle w:val="Commentaire"/>
      </w:pPr>
      <w:r>
        <w:rPr>
          <w:rStyle w:val="Marquedecommentaire"/>
        </w:rPr>
        <w:annotationRef/>
      </w:r>
      <w:r>
        <w:t xml:space="preserve">Rajouter les produits déjà détenus par les membres et qui aurait été fermé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1103E4E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DB332E9" w16cex:dateUtc="2026-05-16T22: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1103E4E7" w16cid:durableId="2DB332E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7D6C85F" w14:textId="77777777" w:rsidR="00AD5985" w:rsidRDefault="00AD5985">
      <w:r>
        <w:separator/>
      </w:r>
    </w:p>
  </w:endnote>
  <w:endnote w:type="continuationSeparator" w:id="0">
    <w:p w14:paraId="7478B9D0" w14:textId="77777777" w:rsidR="00AD5985" w:rsidRDefault="00AD59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28F6FF" w14:textId="77777777" w:rsidR="00E944AC" w:rsidRDefault="00E944AC">
    <w:pPr>
      <w:pBdr>
        <w:top w:val="single" w:sz="4" w:space="2" w:color="CCCCCC"/>
      </w:pBdr>
    </w:pPr>
  </w:p>
  <w:p w14:paraId="18985C92" w14:textId="77777777" w:rsidR="00E944AC" w:rsidRDefault="000A0040">
    <w:pPr>
      <w:jc w:val="center"/>
    </w:pPr>
    <w:r>
      <w:rPr>
        <w:color w:val="888888"/>
        <w:sz w:val="16"/>
        <w:szCs w:val="16"/>
      </w:rPr>
      <w:t xml:space="preserve">Desjardins </w:t>
    </w:r>
    <w:r>
      <w:rPr>
        <w:color w:val="888888"/>
        <w:sz w:val="16"/>
        <w:szCs w:val="16"/>
      </w:rPr>
      <w:t>— Usage interne seulement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0CA6E1B" w14:textId="77777777" w:rsidR="00AD5985" w:rsidRDefault="00AD5985">
      <w:r>
        <w:separator/>
      </w:r>
    </w:p>
  </w:footnote>
  <w:footnote w:type="continuationSeparator" w:id="0">
    <w:p w14:paraId="21401C99" w14:textId="77777777" w:rsidR="00AD5985" w:rsidRDefault="00AD59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720"/>
    </w:tblGrid>
    <w:tr w:rsidR="00E944AC" w14:paraId="5E42D6C6" w14:textId="77777777">
      <w:tc>
        <w:tcPr>
          <w:tcW w:w="6000" w:type="dxa"/>
          <w:tcBorders>
            <w:top w:val="none" w:sz="0" w:space="0" w:color="FFFFFF"/>
            <w:left w:val="none" w:sz="0" w:space="0" w:color="FFFFFF"/>
            <w:bottom w:val="none" w:sz="0" w:space="0" w:color="FFFFFF"/>
            <w:right w:val="none" w:sz="0" w:space="0" w:color="FFFFFF"/>
          </w:tcBorders>
          <w:vAlign w:val="center"/>
        </w:tcPr>
        <w:p w14:paraId="20FF7F21" w14:textId="77777777" w:rsidR="00E944AC" w:rsidRDefault="000A0040">
          <w:r>
            <w:rPr>
              <w:b/>
              <w:bCs/>
              <w:color w:val="00704A"/>
              <w:sz w:val="18"/>
              <w:szCs w:val="18"/>
            </w:rPr>
            <w:t>FICHE MANDAT — CAS D'USAGE ANALYTIQUE</w:t>
          </w:r>
        </w:p>
      </w:tc>
      <w:tc>
        <w:tcPr>
          <w:tcW w:w="3720" w:type="dxa"/>
          <w:tcBorders>
            <w:top w:val="none" w:sz="0" w:space="0" w:color="FFFFFF"/>
            <w:left w:val="none" w:sz="0" w:space="0" w:color="FFFFFF"/>
            <w:bottom w:val="none" w:sz="0" w:space="0" w:color="FFFFFF"/>
            <w:right w:val="none" w:sz="0" w:space="0" w:color="FFFFFF"/>
          </w:tcBorders>
          <w:vAlign w:val="center"/>
        </w:tcPr>
        <w:p w14:paraId="04BCE8FD" w14:textId="77777777" w:rsidR="00E944AC" w:rsidRDefault="000A0040">
          <w:pPr>
            <w:jc w:val="right"/>
          </w:pPr>
          <w:r>
            <w:rPr>
              <w:color w:val="888888"/>
              <w:sz w:val="16"/>
              <w:szCs w:val="16"/>
            </w:rPr>
            <w:t>PVP Entreprises — Analytique  |  CONFIDENTIEL</w:t>
          </w:r>
        </w:p>
      </w:tc>
    </w:tr>
  </w:tbl>
  <w:p w14:paraId="453651DB" w14:textId="77777777" w:rsidR="00E944AC" w:rsidRDefault="00E944AC">
    <w:pPr>
      <w:pBdr>
        <w:bottom w:val="single" w:sz="6" w:space="2" w:color="00704A"/>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8F3072"/>
    <w:multiLevelType w:val="hybridMultilevel"/>
    <w:tmpl w:val="FFFFFFFF"/>
    <w:lvl w:ilvl="0" w:tplc="87FAECFA">
      <w:start w:val="1"/>
      <w:numFmt w:val="bullet"/>
      <w:lvlText w:val="●"/>
      <w:lvlJc w:val="left"/>
      <w:pPr>
        <w:ind w:left="720" w:hanging="360"/>
      </w:pPr>
    </w:lvl>
    <w:lvl w:ilvl="1" w:tplc="ECB46190">
      <w:start w:val="1"/>
      <w:numFmt w:val="bullet"/>
      <w:lvlText w:val="○"/>
      <w:lvlJc w:val="left"/>
      <w:pPr>
        <w:ind w:left="1440" w:hanging="360"/>
      </w:pPr>
    </w:lvl>
    <w:lvl w:ilvl="2" w:tplc="5D305452">
      <w:start w:val="1"/>
      <w:numFmt w:val="bullet"/>
      <w:lvlText w:val="■"/>
      <w:lvlJc w:val="left"/>
      <w:pPr>
        <w:ind w:left="2160" w:hanging="360"/>
      </w:pPr>
    </w:lvl>
    <w:lvl w:ilvl="3" w:tplc="1F266982">
      <w:start w:val="1"/>
      <w:numFmt w:val="bullet"/>
      <w:lvlText w:val="●"/>
      <w:lvlJc w:val="left"/>
      <w:pPr>
        <w:ind w:left="2880" w:hanging="360"/>
      </w:pPr>
    </w:lvl>
    <w:lvl w:ilvl="4" w:tplc="32EAAAFE">
      <w:start w:val="1"/>
      <w:numFmt w:val="bullet"/>
      <w:lvlText w:val="○"/>
      <w:lvlJc w:val="left"/>
      <w:pPr>
        <w:ind w:left="3600" w:hanging="360"/>
      </w:pPr>
    </w:lvl>
    <w:lvl w:ilvl="5" w:tplc="6B5AD3EC">
      <w:start w:val="1"/>
      <w:numFmt w:val="bullet"/>
      <w:lvlText w:val="■"/>
      <w:lvlJc w:val="left"/>
      <w:pPr>
        <w:ind w:left="4320" w:hanging="360"/>
      </w:pPr>
    </w:lvl>
    <w:lvl w:ilvl="6" w:tplc="86D4057C">
      <w:start w:val="1"/>
      <w:numFmt w:val="bullet"/>
      <w:lvlText w:val="●"/>
      <w:lvlJc w:val="left"/>
      <w:pPr>
        <w:ind w:left="5040" w:hanging="360"/>
      </w:pPr>
    </w:lvl>
    <w:lvl w:ilvl="7" w:tplc="9E56CBBE">
      <w:start w:val="1"/>
      <w:numFmt w:val="bullet"/>
      <w:lvlText w:val="●"/>
      <w:lvlJc w:val="left"/>
      <w:pPr>
        <w:ind w:left="5760" w:hanging="360"/>
      </w:pPr>
    </w:lvl>
    <w:lvl w:ilvl="8" w:tplc="EA0EA054">
      <w:start w:val="1"/>
      <w:numFmt w:val="bullet"/>
      <w:lvlText w:val="●"/>
      <w:lvlJc w:val="left"/>
      <w:pPr>
        <w:ind w:left="6480" w:hanging="360"/>
      </w:pPr>
    </w:lvl>
  </w:abstractNum>
  <w:abstractNum w:abstractNumId="1" w15:restartNumberingAfterBreak="0">
    <w:nsid w:val="0A243C89"/>
    <w:multiLevelType w:val="hybridMultilevel"/>
    <w:tmpl w:val="FFFFFFFF"/>
    <w:lvl w:ilvl="0" w:tplc="2062C972">
      <w:start w:val="1"/>
      <w:numFmt w:val="decimal"/>
      <w:lvlText w:val="%1."/>
      <w:lvlJc w:val="left"/>
      <w:pPr>
        <w:ind w:left="720" w:hanging="360"/>
      </w:pPr>
    </w:lvl>
    <w:lvl w:ilvl="1" w:tplc="9FFC070A">
      <w:numFmt w:val="decimal"/>
      <w:lvlText w:val=""/>
      <w:lvlJc w:val="left"/>
    </w:lvl>
    <w:lvl w:ilvl="2" w:tplc="8CAE7042">
      <w:numFmt w:val="decimal"/>
      <w:lvlText w:val=""/>
      <w:lvlJc w:val="left"/>
    </w:lvl>
    <w:lvl w:ilvl="3" w:tplc="22686B22">
      <w:numFmt w:val="decimal"/>
      <w:lvlText w:val=""/>
      <w:lvlJc w:val="left"/>
    </w:lvl>
    <w:lvl w:ilvl="4" w:tplc="93406268">
      <w:numFmt w:val="decimal"/>
      <w:lvlText w:val=""/>
      <w:lvlJc w:val="left"/>
    </w:lvl>
    <w:lvl w:ilvl="5" w:tplc="B1466DCE">
      <w:numFmt w:val="decimal"/>
      <w:lvlText w:val=""/>
      <w:lvlJc w:val="left"/>
    </w:lvl>
    <w:lvl w:ilvl="6" w:tplc="0812D772">
      <w:numFmt w:val="decimal"/>
      <w:lvlText w:val=""/>
      <w:lvlJc w:val="left"/>
    </w:lvl>
    <w:lvl w:ilvl="7" w:tplc="C876CBAE">
      <w:numFmt w:val="decimal"/>
      <w:lvlText w:val=""/>
      <w:lvlJc w:val="left"/>
    </w:lvl>
    <w:lvl w:ilvl="8" w:tplc="9062A7CE">
      <w:numFmt w:val="decimal"/>
      <w:lvlText w:val=""/>
      <w:lvlJc w:val="left"/>
    </w:lvl>
  </w:abstractNum>
  <w:abstractNum w:abstractNumId="2" w15:restartNumberingAfterBreak="0">
    <w:nsid w:val="12D77037"/>
    <w:multiLevelType w:val="hybridMultilevel"/>
    <w:tmpl w:val="FFFFFFFF"/>
    <w:lvl w:ilvl="0" w:tplc="655628F6">
      <w:start w:val="1"/>
      <w:numFmt w:val="bullet"/>
      <w:lvlText w:val="•"/>
      <w:lvlJc w:val="left"/>
      <w:pPr>
        <w:ind w:left="720" w:hanging="360"/>
      </w:pPr>
    </w:lvl>
    <w:lvl w:ilvl="1" w:tplc="DCB8F75A">
      <w:start w:val="1"/>
      <w:numFmt w:val="bullet"/>
      <w:lvlText w:val="◦"/>
      <w:lvlJc w:val="left"/>
      <w:pPr>
        <w:ind w:left="1080" w:hanging="360"/>
      </w:pPr>
    </w:lvl>
    <w:lvl w:ilvl="2" w:tplc="DF6A6FC4">
      <w:numFmt w:val="decimal"/>
      <w:lvlText w:val=""/>
      <w:lvlJc w:val="left"/>
    </w:lvl>
    <w:lvl w:ilvl="3" w:tplc="3A66AB9C">
      <w:numFmt w:val="decimal"/>
      <w:lvlText w:val=""/>
      <w:lvlJc w:val="left"/>
    </w:lvl>
    <w:lvl w:ilvl="4" w:tplc="EFFE760C">
      <w:numFmt w:val="decimal"/>
      <w:lvlText w:val=""/>
      <w:lvlJc w:val="left"/>
    </w:lvl>
    <w:lvl w:ilvl="5" w:tplc="132CE264">
      <w:numFmt w:val="decimal"/>
      <w:lvlText w:val=""/>
      <w:lvlJc w:val="left"/>
    </w:lvl>
    <w:lvl w:ilvl="6" w:tplc="A544B34A">
      <w:numFmt w:val="decimal"/>
      <w:lvlText w:val=""/>
      <w:lvlJc w:val="left"/>
    </w:lvl>
    <w:lvl w:ilvl="7" w:tplc="A1A6C9EA">
      <w:numFmt w:val="decimal"/>
      <w:lvlText w:val=""/>
      <w:lvlJc w:val="left"/>
    </w:lvl>
    <w:lvl w:ilvl="8" w:tplc="A3BAB5F6">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leo basile">
    <w15:presenceInfo w15:providerId="Windows Live" w15:userId="dcfddbaacc55783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7"/>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44AC"/>
    <w:rsid w:val="000A0040"/>
    <w:rsid w:val="00AD5985"/>
    <w:rsid w:val="00E944AC"/>
    <w:rsid w:val="00F12C62"/>
    <w:rsid w:val="00F6289A"/>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ecimalSymbol w:val=","/>
  <w:listSeparator w:val=";"/>
  <w14:docId w14:val="5550851C"/>
  <w15:docId w15:val="{8E677B3A-94DB-9445-990E-C0463CCA8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fr-CA" w:eastAsia="fr-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60"/>
      <w:outlineLvl w:val="0"/>
    </w:pPr>
    <w:rPr>
      <w:b/>
      <w:bCs/>
      <w:color w:val="1A3C34"/>
      <w:sz w:val="32"/>
      <w:szCs w:val="32"/>
    </w:rPr>
  </w:style>
  <w:style w:type="paragraph" w:styleId="Titre2">
    <w:name w:val="heading 2"/>
    <w:uiPriority w:val="9"/>
    <w:unhideWhenUsed/>
    <w:qFormat/>
    <w:pPr>
      <w:spacing w:before="280" w:after="120"/>
      <w:outlineLvl w:val="1"/>
    </w:pPr>
    <w:rPr>
      <w:b/>
      <w:bCs/>
      <w:color w:val="00704A"/>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Hyperlien">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character" w:styleId="Marquedecommentaire">
    <w:name w:val="annotation reference"/>
    <w:basedOn w:val="Policepardfaut"/>
    <w:uiPriority w:val="99"/>
    <w:semiHidden/>
    <w:unhideWhenUsed/>
    <w:rsid w:val="00F12C62"/>
    <w:rPr>
      <w:sz w:val="16"/>
      <w:szCs w:val="16"/>
    </w:rPr>
  </w:style>
  <w:style w:type="paragraph" w:styleId="Commentaire">
    <w:name w:val="annotation text"/>
    <w:basedOn w:val="Normal"/>
    <w:link w:val="CommentaireCar"/>
    <w:uiPriority w:val="99"/>
    <w:unhideWhenUsed/>
    <w:rsid w:val="00F12C62"/>
    <w:rPr>
      <w:sz w:val="20"/>
      <w:szCs w:val="20"/>
    </w:rPr>
  </w:style>
  <w:style w:type="character" w:customStyle="1" w:styleId="CommentaireCar">
    <w:name w:val="Commentaire Car"/>
    <w:basedOn w:val="Policepardfaut"/>
    <w:link w:val="Commentaire"/>
    <w:uiPriority w:val="99"/>
    <w:rsid w:val="00F12C62"/>
    <w:rPr>
      <w:sz w:val="20"/>
      <w:szCs w:val="20"/>
    </w:rPr>
  </w:style>
  <w:style w:type="paragraph" w:styleId="Objetducommentaire">
    <w:name w:val="annotation subject"/>
    <w:basedOn w:val="Commentaire"/>
    <w:next w:val="Commentaire"/>
    <w:link w:val="ObjetducommentaireCar"/>
    <w:uiPriority w:val="99"/>
    <w:semiHidden/>
    <w:unhideWhenUsed/>
    <w:rsid w:val="00F12C62"/>
    <w:rPr>
      <w:b/>
      <w:bCs/>
    </w:rPr>
  </w:style>
  <w:style w:type="character" w:customStyle="1" w:styleId="ObjetducommentaireCar">
    <w:name w:val="Objet du commentaire Car"/>
    <w:basedOn w:val="CommentaireCar"/>
    <w:link w:val="Objetducommentaire"/>
    <w:uiPriority w:val="99"/>
    <w:semiHidden/>
    <w:rsid w:val="00F12C6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15</Pages>
  <Words>4165</Words>
  <Characters>22912</Characters>
  <Application>Microsoft Office Word</Application>
  <DocSecurity>0</DocSecurity>
  <Lines>190</Lines>
  <Paragraphs>54</Paragraphs>
  <ScaleCrop>false</ScaleCrop>
  <Company/>
  <LinksUpToDate>false</LinksUpToDate>
  <CharactersWithSpaces>27023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leo basile</cp:lastModifiedBy>
  <cp:revision>3</cp:revision>
  <dcterms:created xsi:type="dcterms:W3CDTF">2026-05-16T21:26:00Z</dcterms:created>
  <dcterms:modified xsi:type="dcterms:W3CDTF">2026-05-16T22:16:00Z</dcterms:modified>
</cp:coreProperties>
</file>