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Plan de Desarrollo Multiplataforma en React Native</w:t>
      </w:r>
    </w:p>
    <w:p>
      <w:pPr>
        <w:spacing w:after="60"/>
      </w:pPr>
      <w:r>
        <w:rPr>
          <w:color w:val="2E74B5"/>
          <w:sz w:val="26"/>
          <w:szCs w:val="26"/>
        </w:rPr>
        <w:t xml:space="preserve">App OTT multi-marca — de la app web actual a iOS, Android, tvOS, Android TV, Fire TV y Fire TV (Vega OS)</w:t>
      </w:r>
    </w:p>
    <w:p>
      <w:pPr>
        <w:spacing w:after="300"/>
      </w:pPr>
      <w:r>
        <w:rPr>
          <w:i/>
          <w:iCs/>
          <w:color w:val="555555"/>
          <w:sz w:val="20"/>
          <w:szCs w:val="20"/>
        </w:rPr>
        <w:t xml:space="preserve">Estimación de tiempos y esfuerzo · 31 de julio de 2026</w:t>
      </w:r>
    </w:p>
    <w:p>
      <w:pPr>
        <w:pBdr>
          <w:bottom w:val="single" w:color="AAAAAA" w:sz="6" w:space="1"/>
        </w:pBdr>
        <w:spacing w:after="200"/>
      </w:pPr>
    </w:p>
    <w:p>
      <w:pPr>
        <w:pStyle w:val="Heading1"/>
        <w:spacing w:after="160" w:before="320"/>
      </w:pPr>
      <w:r>
        <w:t xml:space="preserve">1. Resumen ejecutivo</w:t>
      </w:r>
    </w:p>
    <w:p>
      <w:pPr>
        <w:spacing w:after="160"/>
      </w:pPr>
      <w:r>
        <w:t xml:space="preserve">Se evalúa migrar la app OTT multi-marca (actualmente una SPA en React/Vite pensada para navegador y Smart TVs Tizen/webOS) hacia aplicaciones nativas en React Native para seis plataformas: iOS, Android, tvOS, Android TV, Fire TV (Fire OS) y Fire TV (Vega OS). Las TVs Samsung/LG 2016 (Tizen/webOS) quedan fuera de este alcance y seguirían cubiertas por la app web existente.</w:t>
      </w:r>
    </w:p>
    <w:p>
      <w:pPr>
        <w:spacing w:after="160"/>
      </w:pPr>
      <w:r>
        <w:t xml:space="preserve">La recomendación es arrancar por iOS mobile como plataforma base: permite validar arquitectura, diseño y reproducción de video con DRM en el entorno más controlado, y sienta la fundación de código que luego se reutiliza en el resto de plataformas. El proyecto completo, ejecutado de forma secuencial con un equipo pequeño, se estima en 7 a 7.5 meses; con dos frentes de trabajo en paralelo (mobile y TV) a partir del mes 3, puede comprimirse a 5-6 meses de calendario.</w:t>
      </w:r>
    </w:p>
    <w:p>
      <w:pPr>
        <w:pStyle w:val="Heading1"/>
        <w:spacing w:after="160" w:before="320"/>
      </w:pPr>
      <w:r>
        <w:t xml:space="preserve">2. Alcance y supuestos</w:t>
      </w:r>
    </w:p>
    <w:p>
      <w:pPr>
        <w:pStyle w:val="ListParagraph"/>
        <w:numPr>
          <w:ilvl w:val="0"/>
          <w:numId w:val="2"/>
        </w:numPr>
        <w:spacing w:after="80"/>
      </w:pPr>
      <w:r>
        <w:t xml:space="preserve">La app RN reutiliza el backend actual (API Panaccess) y el modelo de datos multi-marca (brands.js): una sola base de código parametrizada por marca, igual que hoy, no una app distinta por cliente.</w:t>
      </w:r>
    </w:p>
    <w:p>
      <w:pPr>
        <w:pStyle w:val="ListParagraph"/>
        <w:numPr>
          <w:ilvl w:val="0"/>
          <w:numId w:val="2"/>
        </w:numPr>
        <w:spacing w:after="80"/>
      </w:pPr>
      <w:r>
        <w:t xml:space="preserve">Se asume que Panaccess entrega (o puede entregar) licencias DRM compatibles con Widevine (Android/Android TV/Fire TV) y FairPlay (iOS/tvOS). Esto debe confirmarse antes de iniciar la Fase 1; si no es así, se requiere un servicio de licencias intermedio (esfuerzo no incluido en esta estimación).</w:t>
      </w:r>
    </w:p>
    <w:p>
      <w:pPr>
        <w:pStyle w:val="ListParagraph"/>
        <w:numPr>
          <w:ilvl w:val="0"/>
          <w:numId w:val="2"/>
        </w:numPr>
        <w:spacing w:after="80"/>
      </w:pPr>
      <w:r>
        <w:t xml:space="preserve">No se incluyen las TVs Tizen/webOS (Samsung/LG 2016): siguen sirviéndose vía la app web actual.</w:t>
      </w:r>
    </w:p>
    <w:p>
      <w:pPr>
        <w:pStyle w:val="ListParagraph"/>
        <w:numPr>
          <w:ilvl w:val="0"/>
          <w:numId w:val="2"/>
        </w:numPr>
        <w:spacing w:after="80"/>
      </w:pPr>
      <w:r>
        <w:t xml:space="preserve">Las estimaciones son de esfuerzo de desarrollo/QA; no incluyen tiempos de revisión de tiendas fuera del control del equipo (Apple, Google, Amazon), que se listan aparte como riesgo.</w:t>
      </w:r>
    </w:p>
    <w:p>
      <w:pPr>
        <w:pStyle w:val="Heading1"/>
        <w:spacing w:after="160" w:before="320"/>
      </w:pPr>
      <w:r>
        <w:t xml:space="preserve">3. Qué se reutiliza y qué se reescribe</w:t>
      </w:r>
    </w:p>
    <w:p>
      <w:pPr>
        <w:spacing w:after="160"/>
      </w:pPr>
      <w:r>
        <w:t xml:space="preserve">La app actual ya separa lógica de negocio (servicios, stores) de la capa visual, lo cual favorece la migración. La tabla resume el nivel de reutilización esperado por capa.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100"/>
      </w:tblGrid>
      <w:tr>
        <w:trPr>
          <w:tblHeader/>
        </w:trPr>
        <w:tc>
          <w:tcPr>
            <w:tcW w:type="dxa" w:w="2600"/>
            <w:shd w:fill="1F3864" w:val="clear"/>
            <w:tcMar>
              <w:top w:type="dxa" w:w="80"/>
              <w:left w:type="dxa" w:w="100"/>
              <w:bottom w:type="dxa" w:w="80"/>
              <w:right w:type="dxa" w:w="100"/>
            </w:tcMar>
          </w:tcPr>
          <w:p>
            <w:r>
              <w:rPr>
                <w:b/>
                <w:bCs/>
                <w:color w:val="FFFFFF"/>
              </w:rPr>
              <w:t xml:space="preserve">Capa</w:t>
            </w:r>
          </w:p>
        </w:tc>
        <w:tc>
          <w:tcPr>
            <w:tcW w:type="dxa" w:w="1600"/>
            <w:shd w:fill="1F3864" w:val="clear"/>
            <w:tcMar>
              <w:top w:type="dxa" w:w="80"/>
              <w:left w:type="dxa" w:w="100"/>
              <w:bottom w:type="dxa" w:w="80"/>
              <w:right w:type="dxa" w:w="100"/>
            </w:tcMar>
          </w:tcPr>
          <w:p>
            <w:r>
              <w:rPr>
                <w:b/>
                <w:bCs/>
                <w:color w:val="FFFFFF"/>
              </w:rPr>
              <w:t xml:space="preserve">Reutilización</w:t>
            </w:r>
          </w:p>
        </w:tc>
        <w:tc>
          <w:tcPr>
            <w:tcW w:type="dxa" w:w="6100"/>
            <w:shd w:fill="1F3864" w:val="clear"/>
            <w:tcMar>
              <w:top w:type="dxa" w:w="80"/>
              <w:left w:type="dxa" w:w="100"/>
              <w:bottom w:type="dxa" w:w="80"/>
              <w:right w:type="dxa" w:w="100"/>
            </w:tcMar>
          </w:tcPr>
          <w:p>
            <w:r>
              <w:rPr>
                <w:b/>
                <w:bCs/>
                <w:color w:val="FFFFFF"/>
              </w:rPr>
              <w:t xml:space="preserve">Notas</w:t>
            </w:r>
          </w:p>
        </w:tc>
      </w:tr>
      <w:tr>
        <w:tc>
          <w:tcPr>
            <w:tcW w:type="dxa" w:w="2600"/>
            <w:tcMar>
              <w:top w:type="dxa" w:w="80"/>
              <w:left w:type="dxa" w:w="100"/>
              <w:bottom w:type="dxa" w:w="80"/>
              <w:right w:type="dxa" w:w="100"/>
            </w:tcMar>
          </w:tcPr>
          <w:p>
            <w:r>
              <w:rPr>
                <w:b w:val="false"/>
                <w:bCs w:val="false"/>
              </w:rPr>
              <w:t xml:space="preserve">Servicios (Panaccess, auth, EPG, VOD, catchup, OSMS, parental)</w:t>
            </w:r>
          </w:p>
        </w:tc>
        <w:tc>
          <w:tcPr>
            <w:tcW w:type="dxa" w:w="1600"/>
            <w:tcMar>
              <w:top w:type="dxa" w:w="80"/>
              <w:left w:type="dxa" w:w="100"/>
              <w:bottom w:type="dxa" w:w="80"/>
              <w:right w:type="dxa" w:w="100"/>
            </w:tcMar>
          </w:tcPr>
          <w:p>
            <w:r>
              <w:rPr>
                <w:b w:val="false"/>
                <w:bCs w:val="false"/>
              </w:rPr>
              <w:t xml:space="preserve">Alta (~70-80%)</w:t>
            </w:r>
          </w:p>
        </w:tc>
        <w:tc>
          <w:tcPr>
            <w:tcW w:type="dxa" w:w="6100"/>
            <w:tcMar>
              <w:top w:type="dxa" w:w="80"/>
              <w:left w:type="dxa" w:w="100"/>
              <w:bottom w:type="dxa" w:w="80"/>
              <w:right w:type="dxa" w:w="100"/>
            </w:tcMar>
          </w:tcPr>
          <w:p>
            <w:r>
              <w:rPr>
                <w:b w:val="false"/>
                <w:bCs w:val="false"/>
              </w:rPr>
              <w:t xml:space="preserve">JS puro sin dependencias de DOM; se porta con ajustes menores de storage (localStorage → AsyncStorage/SecureStore) y networking.</w:t>
            </w:r>
          </w:p>
        </w:tc>
      </w:tr>
      <w:tr>
        <w:tc>
          <w:tcPr>
            <w:tcW w:type="dxa" w:w="2600"/>
            <w:shd w:fill="F2F2F2" w:val="clear"/>
            <w:tcMar>
              <w:top w:type="dxa" w:w="80"/>
              <w:left w:type="dxa" w:w="100"/>
              <w:bottom w:type="dxa" w:w="80"/>
              <w:right w:type="dxa" w:w="100"/>
            </w:tcMar>
          </w:tcPr>
          <w:p>
            <w:r>
              <w:rPr>
                <w:b w:val="false"/>
                <w:bCs w:val="false"/>
              </w:rPr>
              <w:t xml:space="preserve">Stores de estado (Zustand)</w:t>
            </w:r>
          </w:p>
        </w:tc>
        <w:tc>
          <w:tcPr>
            <w:tcW w:type="dxa" w:w="1600"/>
            <w:shd w:fill="F2F2F2" w:val="clear"/>
            <w:tcMar>
              <w:top w:type="dxa" w:w="80"/>
              <w:left w:type="dxa" w:w="100"/>
              <w:bottom w:type="dxa" w:w="80"/>
              <w:right w:type="dxa" w:w="100"/>
            </w:tcMar>
          </w:tcPr>
          <w:p>
            <w:r>
              <w:rPr>
                <w:b w:val="false"/>
                <w:bCs w:val="false"/>
              </w:rPr>
              <w:t xml:space="preserve">Alta (~80%)</w:t>
            </w:r>
          </w:p>
        </w:tc>
        <w:tc>
          <w:tcPr>
            <w:tcW w:type="dxa" w:w="6100"/>
            <w:shd w:fill="F2F2F2" w:val="clear"/>
            <w:tcMar>
              <w:top w:type="dxa" w:w="80"/>
              <w:left w:type="dxa" w:w="100"/>
              <w:bottom w:type="dxa" w:w="80"/>
              <w:right w:type="dxa" w:w="100"/>
            </w:tcMar>
          </w:tcPr>
          <w:p>
            <w:r>
              <w:rPr>
                <w:b w:val="false"/>
                <w:bCs w:val="false"/>
              </w:rPr>
              <w:t xml:space="preserve">Prácticamente igual; Zustand funciona nativamente en RN.</w:t>
            </w:r>
          </w:p>
        </w:tc>
      </w:tr>
      <w:tr>
        <w:tc>
          <w:tcPr>
            <w:tcW w:type="dxa" w:w="2600"/>
            <w:tcMar>
              <w:top w:type="dxa" w:w="80"/>
              <w:left w:type="dxa" w:w="100"/>
              <w:bottom w:type="dxa" w:w="80"/>
              <w:right w:type="dxa" w:w="100"/>
            </w:tcMar>
          </w:tcPr>
          <w:p>
            <w:r>
              <w:rPr>
                <w:b w:val="false"/>
                <w:bCs w:val="false"/>
              </w:rPr>
              <w:t xml:space="preserve">Configuración multi-marca (brands.js) e i18n</w:t>
            </w:r>
          </w:p>
        </w:tc>
        <w:tc>
          <w:tcPr>
            <w:tcW w:type="dxa" w:w="1600"/>
            <w:tcMar>
              <w:top w:type="dxa" w:w="80"/>
              <w:left w:type="dxa" w:w="100"/>
              <w:bottom w:type="dxa" w:w="80"/>
              <w:right w:type="dxa" w:w="100"/>
            </w:tcMar>
          </w:tcPr>
          <w:p>
            <w:r>
              <w:rPr>
                <w:b w:val="false"/>
                <w:bCs w:val="false"/>
              </w:rPr>
              <w:t xml:space="preserve">Alta (~90%)</w:t>
            </w:r>
          </w:p>
        </w:tc>
        <w:tc>
          <w:tcPr>
            <w:tcW w:type="dxa" w:w="6100"/>
            <w:tcMar>
              <w:top w:type="dxa" w:w="80"/>
              <w:left w:type="dxa" w:w="100"/>
              <w:bottom w:type="dxa" w:w="80"/>
              <w:right w:type="dxa" w:w="100"/>
            </w:tcMar>
          </w:tcPr>
          <w:p>
            <w:r>
              <w:rPr>
                <w:b w:val="false"/>
                <w:bCs w:val="false"/>
              </w:rPr>
              <w:t xml:space="preserve">Se reutiliza el modelo de datos; los assets (logos, fondos) se re-empaquetan para RN.</w:t>
            </w:r>
          </w:p>
        </w:tc>
      </w:tr>
      <w:tr>
        <w:tc>
          <w:tcPr>
            <w:tcW w:type="dxa" w:w="2600"/>
            <w:shd w:fill="F2F2F2" w:val="clear"/>
            <w:tcMar>
              <w:top w:type="dxa" w:w="80"/>
              <w:left w:type="dxa" w:w="100"/>
              <w:bottom w:type="dxa" w:w="80"/>
              <w:right w:type="dxa" w:w="100"/>
            </w:tcMar>
          </w:tcPr>
          <w:p>
            <w:r>
              <w:rPr>
                <w:b w:val="false"/>
                <w:bCs w:val="false"/>
              </w:rPr>
              <w:t xml:space="preserve">Arquitectura del reproductor (engines: Base/Web/Lg/Samsung)</w:t>
            </w:r>
          </w:p>
        </w:tc>
        <w:tc>
          <w:tcPr>
            <w:tcW w:type="dxa" w:w="1600"/>
            <w:shd w:fill="F2F2F2" w:val="clear"/>
            <w:tcMar>
              <w:top w:type="dxa" w:w="80"/>
              <w:left w:type="dxa" w:w="100"/>
              <w:bottom w:type="dxa" w:w="80"/>
              <w:right w:type="dxa" w:w="100"/>
            </w:tcMar>
          </w:tcPr>
          <w:p>
            <w:r>
              <w:rPr>
                <w:b w:val="false"/>
                <w:bCs w:val="false"/>
              </w:rPr>
              <w:t xml:space="preserve">Media (~50%)</w:t>
            </w:r>
          </w:p>
        </w:tc>
        <w:tc>
          <w:tcPr>
            <w:tcW w:type="dxa" w:w="6100"/>
            <w:shd w:fill="F2F2F2" w:val="clear"/>
            <w:tcMar>
              <w:top w:type="dxa" w:w="80"/>
              <w:left w:type="dxa" w:w="100"/>
              <w:bottom w:type="dxa" w:w="80"/>
              <w:right w:type="dxa" w:w="100"/>
            </w:tcMar>
          </w:tcPr>
          <w:p>
            <w:r>
              <w:rPr>
                <w:b w:val="false"/>
                <w:bCs w:val="false"/>
              </w:rPr>
              <w:t xml:space="preserve">El patrón de "engine" se conserva; se añade un RNVideoEngine nuevo sobre react-native-video, implementando el mismo contrato.</w:t>
            </w:r>
          </w:p>
        </w:tc>
      </w:tr>
      <w:tr>
        <w:tc>
          <w:tcPr>
            <w:tcW w:type="dxa" w:w="2600"/>
            <w:tcMar>
              <w:top w:type="dxa" w:w="80"/>
              <w:left w:type="dxa" w:w="100"/>
              <w:bottom w:type="dxa" w:w="80"/>
              <w:right w:type="dxa" w:w="100"/>
            </w:tcMar>
          </w:tcPr>
          <w:p>
            <w:r>
              <w:rPr>
                <w:b w:val="false"/>
                <w:bCs w:val="false"/>
              </w:rPr>
              <w:t xml:space="preserve">Navegación por foco / control remoto (utils/tvNavigation)</w:t>
            </w:r>
          </w:p>
        </w:tc>
        <w:tc>
          <w:tcPr>
            <w:tcW w:type="dxa" w:w="1600"/>
            <w:tcMar>
              <w:top w:type="dxa" w:w="80"/>
              <w:left w:type="dxa" w:w="100"/>
              <w:bottom w:type="dxa" w:w="80"/>
              <w:right w:type="dxa" w:w="100"/>
            </w:tcMar>
          </w:tcPr>
          <w:p>
            <w:r>
              <w:rPr>
                <w:b w:val="false"/>
                <w:bCs w:val="false"/>
              </w:rPr>
              <w:t xml:space="preserve">Baja (~10%)</w:t>
            </w:r>
          </w:p>
        </w:tc>
        <w:tc>
          <w:tcPr>
            <w:tcW w:type="dxa" w:w="6100"/>
            <w:tcMar>
              <w:top w:type="dxa" w:w="80"/>
              <w:left w:type="dxa" w:w="100"/>
              <w:bottom w:type="dxa" w:w="80"/>
              <w:right w:type="dxa" w:w="100"/>
            </w:tcMar>
          </w:tcPr>
          <w:p>
            <w:r>
              <w:rPr>
                <w:b w:val="false"/>
                <w:bCs w:val="false"/>
              </w:rPr>
              <w:t xml:space="preserve">Se reescribe con TVFocusGuideView y useTVEventHandler (APIs nativas de RN), más robustas que la solución custom actual.</w:t>
            </w:r>
          </w:p>
        </w:tc>
      </w:tr>
      <w:tr>
        <w:tc>
          <w:tcPr>
            <w:tcW w:type="dxa" w:w="2600"/>
            <w:shd w:fill="F2F2F2" w:val="clear"/>
            <w:tcMar>
              <w:top w:type="dxa" w:w="80"/>
              <w:left w:type="dxa" w:w="100"/>
              <w:bottom w:type="dxa" w:w="80"/>
              <w:right w:type="dxa" w:w="100"/>
            </w:tcMar>
          </w:tcPr>
          <w:p>
            <w:r>
              <w:rPr>
                <w:b w:val="false"/>
                <w:bCs w:val="false"/>
              </w:rPr>
              <w:t xml:space="preserve">UI: páginas y componentes (Bootstrap + SCSS)</w:t>
            </w:r>
          </w:p>
        </w:tc>
        <w:tc>
          <w:tcPr>
            <w:tcW w:type="dxa" w:w="1600"/>
            <w:shd w:fill="F2F2F2" w:val="clear"/>
            <w:tcMar>
              <w:top w:type="dxa" w:w="80"/>
              <w:left w:type="dxa" w:w="100"/>
              <w:bottom w:type="dxa" w:w="80"/>
              <w:right w:type="dxa" w:w="100"/>
            </w:tcMar>
          </w:tcPr>
          <w:p>
            <w:r>
              <w:rPr>
                <w:b w:val="false"/>
                <w:bCs w:val="false"/>
              </w:rPr>
              <w:t xml:space="preserve">Nula</w:t>
            </w:r>
          </w:p>
        </w:tc>
        <w:tc>
          <w:tcPr>
            <w:tcW w:type="dxa" w:w="6100"/>
            <w:shd w:fill="F2F2F2" w:val="clear"/>
            <w:tcMar>
              <w:top w:type="dxa" w:w="80"/>
              <w:left w:type="dxa" w:w="100"/>
              <w:bottom w:type="dxa" w:w="80"/>
              <w:right w:type="dxa" w:w="100"/>
            </w:tcMar>
          </w:tcPr>
          <w:p>
            <w:r>
              <w:rPr>
                <w:b w:val="false"/>
                <w:bCs w:val="false"/>
              </w:rPr>
              <w:t xml:space="preserve">Reescritura completa con StyleSheet/RN; no hay equivalente directo de Bootstrap/SCSS en RN.</w:t>
            </w:r>
          </w:p>
        </w:tc>
      </w:tr>
      <w:tr>
        <w:tc>
          <w:tcPr>
            <w:tcW w:type="dxa" w:w="2600"/>
            <w:tcMar>
              <w:top w:type="dxa" w:w="80"/>
              <w:left w:type="dxa" w:w="100"/>
              <w:bottom w:type="dxa" w:w="80"/>
              <w:right w:type="dxa" w:w="100"/>
            </w:tcMar>
          </w:tcPr>
          <w:p>
            <w:r>
              <w:rPr>
                <w:b w:val="false"/>
                <w:bCs w:val="false"/>
              </w:rPr>
              <w:t xml:space="preserve">Autenticación social, QR, cifrado</w:t>
            </w:r>
          </w:p>
        </w:tc>
        <w:tc>
          <w:tcPr>
            <w:tcW w:type="dxa" w:w="1600"/>
            <w:tcMar>
              <w:top w:type="dxa" w:w="80"/>
              <w:left w:type="dxa" w:w="100"/>
              <w:bottom w:type="dxa" w:w="80"/>
              <w:right w:type="dxa" w:w="100"/>
            </w:tcMar>
          </w:tcPr>
          <w:p>
            <w:r>
              <w:rPr>
                <w:b w:val="false"/>
                <w:bCs w:val="false"/>
              </w:rPr>
              <w:t xml:space="preserve">Media (~40%)</w:t>
            </w:r>
          </w:p>
        </w:tc>
        <w:tc>
          <w:tcPr>
            <w:tcW w:type="dxa" w:w="6100"/>
            <w:tcMar>
              <w:top w:type="dxa" w:w="80"/>
              <w:left w:type="dxa" w:w="100"/>
              <w:bottom w:type="dxa" w:w="80"/>
              <w:right w:type="dxa" w:w="100"/>
            </w:tcMar>
          </w:tcPr>
          <w:p>
            <w:r>
              <w:rPr>
                <w:b w:val="false"/>
                <w:bCs w:val="false"/>
              </w:rPr>
              <w:t xml:space="preserve">La lógica se reutiliza; las librerías (Google/Facebook login, QR, crypto) se sustituyen por sus equivalentes RN.</w:t>
            </w:r>
          </w:p>
        </w:tc>
      </w:tr>
    </w:tbl>
    <w:p>
      <w:pPr>
        <w:pStyle w:val="Heading1"/>
        <w:spacing w:after="160" w:before="320"/>
      </w:pPr>
      <w:r>
        <w:t xml:space="preserve">4. Por qué empezar por iOS mobile</w:t>
      </w:r>
    </w:p>
    <w:p>
      <w:pPr>
        <w:spacing w:after="160"/>
      </w:pPr>
      <w:r>
        <w:t xml:space="preserve">iOS mobile ofrece el entorno más controlado para validar la arquitectura completa (servicios, player con DRM, navegación, UI) antes de multiplicar el esfuerzo en cinco plataformas más. Al ser React Native, el trabajo de UI y lógica hecho en esta fase se reutiliza directamente en Android (mismo código, cambia mayormente la capa de DRM/nativa) y sirve de referencia de componentes para las plataformas de TV. Empezar por TV primero habría forzado a resolver simultáneamente diseño de 10 pies y navegación por control remoto antes de tener una base de código estable.</w:t>
      </w:r>
    </w:p>
    <w:p>
      <w:pPr>
        <w:pStyle w:val="Heading1"/>
        <w:spacing w:after="160" w:before="320"/>
      </w:pPr>
      <w:r>
        <w:t xml:space="preserve">5. Roadmap por fases y tiempos estimados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5600"/>
      </w:tblGrid>
      <w:tr>
        <w:trPr>
          <w:tblHeader/>
        </w:trPr>
        <w:tc>
          <w:tcPr>
            <w:tcW w:type="dxa" w:w="1300"/>
            <w:shd w:fill="1F3864" w:val="clear"/>
            <w:tcMar>
              <w:top w:type="dxa" w:w="80"/>
              <w:left w:type="dxa" w:w="100"/>
              <w:bottom w:type="dxa" w:w="80"/>
              <w:right w:type="dxa" w:w="100"/>
            </w:tcMar>
          </w:tcPr>
          <w:p>
            <w:r>
              <w:rPr>
                <w:b/>
                <w:bCs/>
                <w:color w:val="FFFFFF"/>
              </w:rPr>
              <w:t xml:space="preserve">Fase</w:t>
            </w:r>
          </w:p>
        </w:tc>
        <w:tc>
          <w:tcPr>
            <w:tcW w:type="dxa" w:w="1900"/>
            <w:shd w:fill="1F3864" w:val="clear"/>
            <w:tcMar>
              <w:top w:type="dxa" w:w="80"/>
              <w:left w:type="dxa" w:w="100"/>
              <w:bottom w:type="dxa" w:w="80"/>
              <w:right w:type="dxa" w:w="100"/>
            </w:tcMar>
          </w:tcPr>
          <w:p>
            <w:r>
              <w:rPr>
                <w:b/>
                <w:bCs/>
                <w:color w:val="FFFFFF"/>
              </w:rPr>
              <w:t xml:space="preserve">Plataforma</w:t>
            </w:r>
          </w:p>
        </w:tc>
        <w:tc>
          <w:tcPr>
            <w:tcW w:type="dxa" w:w="1500"/>
            <w:shd w:fill="1F3864" w:val="clear"/>
            <w:tcMar>
              <w:top w:type="dxa" w:w="80"/>
              <w:left w:type="dxa" w:w="100"/>
              <w:bottom w:type="dxa" w:w="80"/>
              <w:right w:type="dxa" w:w="100"/>
            </w:tcMar>
          </w:tcPr>
          <w:p>
            <w:r>
              <w:rPr>
                <w:b/>
                <w:bCs/>
                <w:color w:val="FFFFFF"/>
              </w:rPr>
              <w:t xml:space="preserve">Duración</w:t>
            </w:r>
          </w:p>
        </w:tc>
        <w:tc>
          <w:tcPr>
            <w:tcW w:type="dxa" w:w="5600"/>
            <w:shd w:fill="1F3864" w:val="clear"/>
            <w:tcMar>
              <w:top w:type="dxa" w:w="80"/>
              <w:left w:type="dxa" w:w="100"/>
              <w:bottom w:type="dxa" w:w="80"/>
              <w:right w:type="dxa" w:w="100"/>
            </w:tcMar>
          </w:tcPr>
          <w:p>
            <w:r>
              <w:rPr>
                <w:b/>
                <w:bCs/>
                <w:color w:val="FFFFFF"/>
              </w:rPr>
              <w:t xml:space="preserve">Alcance principal</w:t>
            </w:r>
          </w:p>
        </w:tc>
      </w:tr>
      <w:tr>
        <w:tc>
          <w:tcPr>
            <w:tcW w:type="dxa" w:w="1300"/>
            <w:tcMar>
              <w:top w:type="dxa" w:w="80"/>
              <w:left w:type="dxa" w:w="100"/>
              <w:bottom w:type="dxa" w:w="80"/>
              <w:right w:type="dxa" w:w="100"/>
            </w:tcMar>
          </w:tcPr>
          <w:p>
            <w:r>
              <w:rPr>
                <w:b w:val="false"/>
                <w:bCs w:val="false"/>
              </w:rPr>
              <w:t xml:space="preserve">0</w:t>
            </w:r>
          </w:p>
        </w:tc>
        <w:tc>
          <w:tcPr>
            <w:tcW w:type="dxa" w:w="1900"/>
            <w:tcMar>
              <w:top w:type="dxa" w:w="80"/>
              <w:left w:type="dxa" w:w="100"/>
              <w:bottom w:type="dxa" w:w="80"/>
              <w:right w:type="dxa" w:w="100"/>
            </w:tcMar>
          </w:tcPr>
          <w:p>
            <w:r>
              <w:rPr>
                <w:b w:val="false"/>
                <w:bCs w:val="false"/>
              </w:rPr>
              <w:t xml:space="preserve">Fundaciones compartidas</w:t>
            </w:r>
          </w:p>
        </w:tc>
        <w:tc>
          <w:tcPr>
            <w:tcW w:type="dxa" w:w="1500"/>
            <w:tcMar>
              <w:top w:type="dxa" w:w="80"/>
              <w:left w:type="dxa" w:w="100"/>
              <w:bottom w:type="dxa" w:w="80"/>
              <w:right w:type="dxa" w:w="100"/>
            </w:tcMar>
          </w:tcPr>
          <w:p>
            <w:r>
              <w:rPr>
                <w:b w:val="false"/>
                <w:bCs w:val="false"/>
              </w:rPr>
              <w:t xml:space="preserve">3 semanas</w:t>
            </w:r>
          </w:p>
        </w:tc>
        <w:tc>
          <w:tcPr>
            <w:tcW w:type="dxa" w:w="5600"/>
            <w:tcMar>
              <w:top w:type="dxa" w:w="80"/>
              <w:left w:type="dxa" w:w="100"/>
              <w:bottom w:type="dxa" w:w="80"/>
              <w:right w:type="dxa" w:w="100"/>
            </w:tcMar>
          </w:tcPr>
          <w:p>
            <w:r>
              <w:rPr>
                <w:b w:val="false"/>
                <w:bCs w:val="false"/>
              </w:rPr>
              <w:t xml:space="preserve">Setup del proyecto RN, sistema de diseño base y tokens de marca, navegación (React Navigation), port de servicios y stores, i18n.</w:t>
            </w:r>
          </w:p>
        </w:tc>
      </w:tr>
      <w:tr>
        <w:tc>
          <w:tcPr>
            <w:tcW w:type="dxa" w:w="1300"/>
            <w:shd w:fill="F2F2F2" w:val="clear"/>
            <w:tcMar>
              <w:top w:type="dxa" w:w="80"/>
              <w:left w:type="dxa" w:w="100"/>
              <w:bottom w:type="dxa" w:w="80"/>
              <w:right w:type="dxa" w:w="100"/>
            </w:tcMar>
          </w:tcPr>
          <w:p>
            <w:r>
              <w:rPr>
                <w:b w:val="false"/>
                <w:bCs w:val="false"/>
              </w:rPr>
              <w:t xml:space="preserve">1</w:t>
            </w:r>
          </w:p>
        </w:tc>
        <w:tc>
          <w:tcPr>
            <w:tcW w:type="dxa" w:w="1900"/>
            <w:shd w:fill="F2F2F2" w:val="clear"/>
            <w:tcMar>
              <w:top w:type="dxa" w:w="80"/>
              <w:left w:type="dxa" w:w="100"/>
              <w:bottom w:type="dxa" w:w="80"/>
              <w:right w:type="dxa" w:w="100"/>
            </w:tcMar>
          </w:tcPr>
          <w:p>
            <w:r>
              <w:rPr>
                <w:b w:val="false"/>
                <w:bCs w:val="false"/>
              </w:rPr>
              <w:t xml:space="preserve">iOS Mobile</w:t>
            </w:r>
          </w:p>
        </w:tc>
        <w:tc>
          <w:tcPr>
            <w:tcW w:type="dxa" w:w="1500"/>
            <w:shd w:fill="F2F2F2" w:val="clear"/>
            <w:tcMar>
              <w:top w:type="dxa" w:w="80"/>
              <w:left w:type="dxa" w:w="100"/>
              <w:bottom w:type="dxa" w:w="80"/>
              <w:right w:type="dxa" w:w="100"/>
            </w:tcMar>
          </w:tcPr>
          <w:p>
            <w:r>
              <w:rPr>
                <w:b w:val="false"/>
                <w:bCs w:val="false"/>
              </w:rPr>
              <w:t xml:space="preserve">9-10 semanas</w:t>
            </w:r>
          </w:p>
        </w:tc>
        <w:tc>
          <w:tcPr>
            <w:tcW w:type="dxa" w:w="5600"/>
            <w:shd w:fill="F2F2F2" w:val="clear"/>
            <w:tcMar>
              <w:top w:type="dxa" w:w="80"/>
              <w:left w:type="dxa" w:w="100"/>
              <w:bottom w:type="dxa" w:w="80"/>
              <w:right w:type="dxa" w:w="100"/>
            </w:tcMar>
          </w:tcPr>
          <w:p>
            <w:r>
              <w:rPr>
                <w:b w:val="false"/>
                <w:bCs w:val="false"/>
              </w:rPr>
              <w:t xml:space="preserve">Login/onboarding/perfiles/PIN parental; Home y EPG; VOD y catchup; player con DRM FairPlay (react-native-video v6); búsqueda, cuenta, OSMS; QA y envío a App Store.</w:t>
            </w:r>
          </w:p>
        </w:tc>
      </w:tr>
      <w:tr>
        <w:tc>
          <w:tcPr>
            <w:tcW w:type="dxa" w:w="1300"/>
            <w:tcMar>
              <w:top w:type="dxa" w:w="80"/>
              <w:left w:type="dxa" w:w="100"/>
              <w:bottom w:type="dxa" w:w="80"/>
              <w:right w:type="dxa" w:w="100"/>
            </w:tcMar>
          </w:tcPr>
          <w:p>
            <w:r>
              <w:rPr>
                <w:b w:val="false"/>
                <w:bCs w:val="false"/>
              </w:rPr>
              <w:t xml:space="preserve">2</w:t>
            </w:r>
          </w:p>
        </w:tc>
        <w:tc>
          <w:tcPr>
            <w:tcW w:type="dxa" w:w="1900"/>
            <w:tcMar>
              <w:top w:type="dxa" w:w="80"/>
              <w:left w:type="dxa" w:w="100"/>
              <w:bottom w:type="dxa" w:w="80"/>
              <w:right w:type="dxa" w:w="100"/>
            </w:tcMar>
          </w:tcPr>
          <w:p>
            <w:r>
              <w:rPr>
                <w:b w:val="false"/>
                <w:bCs w:val="false"/>
              </w:rPr>
              <w:t xml:space="preserve">Android Mobile</w:t>
            </w:r>
          </w:p>
        </w:tc>
        <w:tc>
          <w:tcPr>
            <w:tcW w:type="dxa" w:w="1500"/>
            <w:tcMar>
              <w:top w:type="dxa" w:w="80"/>
              <w:left w:type="dxa" w:w="100"/>
              <w:bottom w:type="dxa" w:w="80"/>
              <w:right w:type="dxa" w:w="100"/>
            </w:tcMar>
          </w:tcPr>
          <w:p>
            <w:r>
              <w:rPr>
                <w:b w:val="false"/>
                <w:bCs w:val="false"/>
              </w:rPr>
              <w:t xml:space="preserve">4 semanas</w:t>
            </w:r>
          </w:p>
        </w:tc>
        <w:tc>
          <w:tcPr>
            <w:tcW w:type="dxa" w:w="5600"/>
            <w:tcMar>
              <w:top w:type="dxa" w:w="80"/>
              <w:left w:type="dxa" w:w="100"/>
              <w:bottom w:type="dxa" w:w="80"/>
              <w:right w:type="dxa" w:w="100"/>
            </w:tcMar>
          </w:tcPr>
          <w:p>
            <w:r>
              <w:rPr>
                <w:b w:val="false"/>
                <w:bCs w:val="false"/>
              </w:rPr>
              <w:t xml:space="preserve">Reutiliza ~80% de la Fase 1; integración Widevine, ajustes de UI/permisos Android, envío a Play Store.</w:t>
            </w:r>
          </w:p>
        </w:tc>
      </w:tr>
      <w:tr>
        <w:tc>
          <w:tcPr>
            <w:tcW w:type="dxa" w:w="1300"/>
            <w:shd w:fill="F2F2F2" w:val="clear"/>
            <w:tcMar>
              <w:top w:type="dxa" w:w="80"/>
              <w:left w:type="dxa" w:w="100"/>
              <w:bottom w:type="dxa" w:w="80"/>
              <w:right w:type="dxa" w:w="100"/>
            </w:tcMar>
          </w:tcPr>
          <w:p>
            <w:r>
              <w:rPr>
                <w:b w:val="false"/>
                <w:bCs w:val="false"/>
              </w:rPr>
              <w:t xml:space="preserve">3</w:t>
            </w:r>
          </w:p>
        </w:tc>
        <w:tc>
          <w:tcPr>
            <w:tcW w:type="dxa" w:w="1900"/>
            <w:shd w:fill="F2F2F2" w:val="clear"/>
            <w:tcMar>
              <w:top w:type="dxa" w:w="80"/>
              <w:left w:type="dxa" w:w="100"/>
              <w:bottom w:type="dxa" w:w="80"/>
              <w:right w:type="dxa" w:w="100"/>
            </w:tcMar>
          </w:tcPr>
          <w:p>
            <w:r>
              <w:rPr>
                <w:b w:val="false"/>
                <w:bCs w:val="false"/>
              </w:rPr>
              <w:t xml:space="preserve">Apple tvOS</w:t>
            </w:r>
          </w:p>
        </w:tc>
        <w:tc>
          <w:tcPr>
            <w:tcW w:type="dxa" w:w="1500"/>
            <w:shd w:fill="F2F2F2" w:val="clear"/>
            <w:tcMar>
              <w:top w:type="dxa" w:w="80"/>
              <w:left w:type="dxa" w:w="100"/>
              <w:bottom w:type="dxa" w:w="80"/>
              <w:right w:type="dxa" w:w="100"/>
            </w:tcMar>
          </w:tcPr>
          <w:p>
            <w:r>
              <w:rPr>
                <w:b w:val="false"/>
                <w:bCs w:val="false"/>
              </w:rPr>
              <w:t xml:space="preserve">6 semanas</w:t>
            </w:r>
          </w:p>
        </w:tc>
        <w:tc>
          <w:tcPr>
            <w:tcW w:type="dxa" w:w="5600"/>
            <w:shd w:fill="F2F2F2" w:val="clear"/>
            <w:tcMar>
              <w:top w:type="dxa" w:w="80"/>
              <w:left w:type="dxa" w:w="100"/>
              <w:bottom w:type="dxa" w:w="80"/>
              <w:right w:type="dxa" w:w="100"/>
            </w:tcMar>
          </w:tcPr>
          <w:p>
            <w:r>
              <w:rPr>
                <w:b w:val="false"/>
                <w:bCs w:val="false"/>
              </w:rPr>
              <w:t xml:space="preserve">Rediseño de UI a formato "10 pies", navegación por foco (TVFocusGuideView / useTVEventHandler), HUD de reproductor adaptado al Siri Remote, revisión App Store tvOS.</w:t>
            </w:r>
          </w:p>
        </w:tc>
      </w:tr>
      <w:tr>
        <w:tc>
          <w:tcPr>
            <w:tcW w:type="dxa" w:w="1300"/>
            <w:tcMar>
              <w:top w:type="dxa" w:w="80"/>
              <w:left w:type="dxa" w:w="100"/>
              <w:bottom w:type="dxa" w:w="80"/>
              <w:right w:type="dxa" w:w="100"/>
            </w:tcMar>
          </w:tcPr>
          <w:p>
            <w:r>
              <w:rPr>
                <w:b w:val="false"/>
                <w:bCs w:val="false"/>
              </w:rPr>
              <w:t xml:space="preserve">4</w:t>
            </w:r>
          </w:p>
        </w:tc>
        <w:tc>
          <w:tcPr>
            <w:tcW w:type="dxa" w:w="1900"/>
            <w:tcMar>
              <w:top w:type="dxa" w:w="80"/>
              <w:left w:type="dxa" w:w="100"/>
              <w:bottom w:type="dxa" w:w="80"/>
              <w:right w:type="dxa" w:w="100"/>
            </w:tcMar>
          </w:tcPr>
          <w:p>
            <w:r>
              <w:rPr>
                <w:b w:val="false"/>
                <w:bCs w:val="false"/>
              </w:rPr>
              <w:t xml:space="preserve">Android TV</w:t>
            </w:r>
          </w:p>
        </w:tc>
        <w:tc>
          <w:tcPr>
            <w:tcW w:type="dxa" w:w="1500"/>
            <w:tcMar>
              <w:top w:type="dxa" w:w="80"/>
              <w:left w:type="dxa" w:w="100"/>
              <w:bottom w:type="dxa" w:w="80"/>
              <w:right w:type="dxa" w:w="100"/>
            </w:tcMar>
          </w:tcPr>
          <w:p>
            <w:r>
              <w:rPr>
                <w:b w:val="false"/>
                <w:bCs w:val="false"/>
              </w:rPr>
              <w:t xml:space="preserve">3 semanas</w:t>
            </w:r>
          </w:p>
        </w:tc>
        <w:tc>
          <w:tcPr>
            <w:tcW w:type="dxa" w:w="5600"/>
            <w:tcMar>
              <w:top w:type="dxa" w:w="80"/>
              <w:left w:type="dxa" w:w="100"/>
              <w:bottom w:type="dxa" w:w="80"/>
              <w:right w:type="dxa" w:w="100"/>
            </w:tcMar>
          </w:tcPr>
          <w:p>
            <w:r>
              <w:rPr>
                <w:b w:val="false"/>
                <w:bCs w:val="false"/>
              </w:rPr>
              <w:t xml:space="preserve">Reutiliza el patrón de foco de tvOS y el DRM Widevine de la Fase 2; ajustes de control remoto Android TV, envío a Play Store TV.</w:t>
            </w:r>
          </w:p>
        </w:tc>
      </w:tr>
      <w:tr>
        <w:tc>
          <w:tcPr>
            <w:tcW w:type="dxa" w:w="1300"/>
            <w:shd w:fill="F2F2F2" w:val="clear"/>
            <w:tcMar>
              <w:top w:type="dxa" w:w="80"/>
              <w:left w:type="dxa" w:w="100"/>
              <w:bottom w:type="dxa" w:w="80"/>
              <w:right w:type="dxa" w:w="100"/>
            </w:tcMar>
          </w:tcPr>
          <w:p>
            <w:r>
              <w:rPr>
                <w:b w:val="false"/>
                <w:bCs w:val="false"/>
              </w:rPr>
              <w:t xml:space="preserve">5</w:t>
            </w:r>
          </w:p>
        </w:tc>
        <w:tc>
          <w:tcPr>
            <w:tcW w:type="dxa" w:w="1900"/>
            <w:shd w:fill="F2F2F2" w:val="clear"/>
            <w:tcMar>
              <w:top w:type="dxa" w:w="80"/>
              <w:left w:type="dxa" w:w="100"/>
              <w:bottom w:type="dxa" w:w="80"/>
              <w:right w:type="dxa" w:w="100"/>
            </w:tcMar>
          </w:tcPr>
          <w:p>
            <w:r>
              <w:rPr>
                <w:b w:val="false"/>
                <w:bCs w:val="false"/>
              </w:rPr>
              <w:t xml:space="preserve">Fire TV (Fire OS)</w:t>
            </w:r>
          </w:p>
        </w:tc>
        <w:tc>
          <w:tcPr>
            <w:tcW w:type="dxa" w:w="1500"/>
            <w:shd w:fill="F2F2F2" w:val="clear"/>
            <w:tcMar>
              <w:top w:type="dxa" w:w="80"/>
              <w:left w:type="dxa" w:w="100"/>
              <w:bottom w:type="dxa" w:w="80"/>
              <w:right w:type="dxa" w:w="100"/>
            </w:tcMar>
          </w:tcPr>
          <w:p>
            <w:r>
              <w:rPr>
                <w:b w:val="false"/>
                <w:bCs w:val="false"/>
              </w:rPr>
              <w:t xml:space="preserve">2 semanas</w:t>
            </w:r>
          </w:p>
        </w:tc>
        <w:tc>
          <w:tcPr>
            <w:tcW w:type="dxa" w:w="5600"/>
            <w:shd w:fill="F2F2F2" w:val="clear"/>
            <w:tcMar>
              <w:top w:type="dxa" w:w="80"/>
              <w:left w:type="dxa" w:w="100"/>
              <w:bottom w:type="dxa" w:w="80"/>
              <w:right w:type="dxa" w:w="100"/>
            </w:tcMar>
          </w:tcPr>
          <w:p>
            <w:r>
              <w:rPr>
                <w:b w:val="false"/>
                <w:bCs w:val="false"/>
              </w:rPr>
              <w:t xml:space="preserve">Comparte código con Android TV; ajustes de Amazon Appstore y controles Fire, envío a Amazon Appstore.</w:t>
            </w:r>
          </w:p>
        </w:tc>
      </w:tr>
      <w:tr>
        <w:tc>
          <w:tcPr>
            <w:tcW w:type="dxa" w:w="1300"/>
            <w:tcMar>
              <w:top w:type="dxa" w:w="80"/>
              <w:left w:type="dxa" w:w="100"/>
              <w:bottom w:type="dxa" w:w="80"/>
              <w:right w:type="dxa" w:w="100"/>
            </w:tcMar>
          </w:tcPr>
          <w:p>
            <w:r>
              <w:rPr>
                <w:b w:val="false"/>
                <w:bCs w:val="false"/>
              </w:rPr>
              <w:t xml:space="preserve">6</w:t>
            </w:r>
          </w:p>
        </w:tc>
        <w:tc>
          <w:tcPr>
            <w:tcW w:type="dxa" w:w="1900"/>
            <w:tcMar>
              <w:top w:type="dxa" w:w="80"/>
              <w:left w:type="dxa" w:w="100"/>
              <w:bottom w:type="dxa" w:w="80"/>
              <w:right w:type="dxa" w:w="100"/>
            </w:tcMar>
          </w:tcPr>
          <w:p>
            <w:r>
              <w:rPr>
                <w:b w:val="false"/>
                <w:bCs w:val="false"/>
              </w:rPr>
              <w:t xml:space="preserve">Fire TV (Vega OS)</w:t>
            </w:r>
          </w:p>
        </w:tc>
        <w:tc>
          <w:tcPr>
            <w:tcW w:type="dxa" w:w="1500"/>
            <w:tcMar>
              <w:top w:type="dxa" w:w="80"/>
              <w:left w:type="dxa" w:w="100"/>
              <w:bottom w:type="dxa" w:w="80"/>
              <w:right w:type="dxa" w:w="100"/>
            </w:tcMar>
          </w:tcPr>
          <w:p>
            <w:r>
              <w:rPr>
                <w:b w:val="false"/>
                <w:bCs w:val="false"/>
              </w:rPr>
              <w:t xml:space="preserve">4 semanas</w:t>
            </w:r>
          </w:p>
        </w:tc>
        <w:tc>
          <w:tcPr>
            <w:tcW w:type="dxa" w:w="5600"/>
            <w:tcMar>
              <w:top w:type="dxa" w:w="80"/>
              <w:left w:type="dxa" w:w="100"/>
              <w:bottom w:type="dxa" w:w="80"/>
              <w:right w:type="dxa" w:w="100"/>
            </w:tcMar>
          </w:tcPr>
          <w:p>
            <w:r>
              <w:rPr>
                <w:b w:val="false"/>
                <w:bCs w:val="false"/>
              </w:rPr>
              <w:t xml:space="preserve">Toolchain separado (RN 0.72 fijo, subset de APIs "Kepler"); pruebas de compatibilidad y adaptaciones puntuales, envío a Amazon Vega.</w:t>
            </w:r>
          </w:p>
        </w:tc>
      </w:tr>
    </w:tbl>
    <w:p>
      <w:pPr>
        <w:spacing w:after="160"/>
      </w:pPr>
      <w:r>
        <w:rPr>
          <w:i/>
          <w:iCs/>
          <w:color w:val="555555"/>
        </w:rPr>
        <w:t xml:space="preserve">Total secuencial (un equipo, una fase tras otra): ~31 semanas (7-7.5 meses). Con dos frentes en paralelo — mobile (Fases 1-2) y TV (Fases 3-6) — arrancando el frente TV al terminar la Fase 0, el calendario total puede bajar a 5-6 meses.</w:t>
      </w:r>
    </w:p>
    <w:p>
      <w:pPr>
        <w:pStyle w:val="Heading1"/>
        <w:spacing w:after="160" w:before="320"/>
      </w:pPr>
      <w:r>
        <w:t xml:space="preserve">6. Cronograma consolidado (vista secuencial)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5000"/>
      </w:tblGrid>
      <w:tr>
        <w:trPr>
          <w:tblHeader/>
        </w:trPr>
        <w:tc>
          <w:tcPr>
            <w:tcW w:type="dxa" w:w="3400"/>
            <w:shd w:fill="1F3864" w:val="clear"/>
            <w:tcMar>
              <w:top w:type="dxa" w:w="80"/>
              <w:left w:type="dxa" w:w="100"/>
              <w:bottom w:type="dxa" w:w="80"/>
              <w:right w:type="dxa" w:w="100"/>
            </w:tcMar>
          </w:tcPr>
          <w:p>
            <w:r>
              <w:rPr>
                <w:b/>
                <w:bCs/>
                <w:color w:val="FFFFFF"/>
              </w:rPr>
              <w:t xml:space="preserve">Fase</w:t>
            </w:r>
          </w:p>
        </w:tc>
        <w:tc>
          <w:tcPr>
            <w:tcW w:type="dxa" w:w="1900"/>
            <w:shd w:fill="1F3864" w:val="clear"/>
            <w:tcMar>
              <w:top w:type="dxa" w:w="80"/>
              <w:left w:type="dxa" w:w="100"/>
              <w:bottom w:type="dxa" w:w="80"/>
              <w:right w:type="dxa" w:w="100"/>
            </w:tcMar>
          </w:tcPr>
          <w:p>
            <w:r>
              <w:rPr>
                <w:b/>
                <w:bCs/>
                <w:color w:val="FFFFFF"/>
              </w:rPr>
              <w:t xml:space="preserve">Mes (aprox.)</w:t>
            </w:r>
          </w:p>
        </w:tc>
        <w:tc>
          <w:tcPr>
            <w:tcW w:type="dxa" w:w="5000"/>
            <w:shd w:fill="1F3864" w:val="clear"/>
            <w:tcMar>
              <w:top w:type="dxa" w:w="80"/>
              <w:left w:type="dxa" w:w="100"/>
              <w:bottom w:type="dxa" w:w="80"/>
              <w:right w:type="dxa" w:w="100"/>
            </w:tcMar>
          </w:tcPr>
          <w:p>
            <w:r>
              <w:rPr>
                <w:b/>
                <w:bCs/>
                <w:color w:val="FFFFFF"/>
              </w:rPr>
              <w:t xml:space="preserve">Hito de cierre</w:t>
            </w:r>
          </w:p>
        </w:tc>
      </w:tr>
      <w:tr>
        <w:tc>
          <w:tcPr>
            <w:tcW w:type="dxa" w:w="3400"/>
            <w:tcMar>
              <w:top w:type="dxa" w:w="80"/>
              <w:left w:type="dxa" w:w="100"/>
              <w:bottom w:type="dxa" w:w="80"/>
              <w:right w:type="dxa" w:w="100"/>
            </w:tcMar>
          </w:tcPr>
          <w:p>
            <w:r>
              <w:rPr>
                <w:b w:val="false"/>
                <w:bCs w:val="false"/>
              </w:rPr>
              <w:t xml:space="preserve">0. Fundaciones</w:t>
            </w:r>
          </w:p>
        </w:tc>
        <w:tc>
          <w:tcPr>
            <w:tcW w:type="dxa" w:w="1900"/>
            <w:tcMar>
              <w:top w:type="dxa" w:w="80"/>
              <w:left w:type="dxa" w:w="100"/>
              <w:bottom w:type="dxa" w:w="80"/>
              <w:right w:type="dxa" w:w="100"/>
            </w:tcMar>
          </w:tcPr>
          <w:p>
            <w:r>
              <w:rPr>
                <w:b w:val="false"/>
                <w:bCs w:val="false"/>
              </w:rPr>
              <w:t xml:space="preserve">Mes 1 (semanas 1-3)</w:t>
            </w:r>
          </w:p>
        </w:tc>
        <w:tc>
          <w:tcPr>
            <w:tcW w:type="dxa" w:w="5000"/>
            <w:tcMar>
              <w:top w:type="dxa" w:w="80"/>
              <w:left w:type="dxa" w:w="100"/>
              <w:bottom w:type="dxa" w:w="80"/>
              <w:right w:type="dxa" w:w="100"/>
            </w:tcMar>
          </w:tcPr>
          <w:p>
            <w:r>
              <w:rPr>
                <w:b w:val="false"/>
                <w:bCs w:val="false"/>
              </w:rPr>
              <w:t xml:space="preserve">Arquitectura RN y servicios portados, listos para consumir desde UI.</w:t>
            </w:r>
          </w:p>
        </w:tc>
      </w:tr>
      <w:tr>
        <w:tc>
          <w:tcPr>
            <w:tcW w:type="dxa" w:w="3400"/>
            <w:shd w:fill="F2F2F2" w:val="clear"/>
            <w:tcMar>
              <w:top w:type="dxa" w:w="80"/>
              <w:left w:type="dxa" w:w="100"/>
              <w:bottom w:type="dxa" w:w="80"/>
              <w:right w:type="dxa" w:w="100"/>
            </w:tcMar>
          </w:tcPr>
          <w:p>
            <w:r>
              <w:rPr>
                <w:b w:val="false"/>
                <w:bCs w:val="false"/>
              </w:rPr>
              <w:t xml:space="preserve">1. iOS Mobile</w:t>
            </w:r>
          </w:p>
        </w:tc>
        <w:tc>
          <w:tcPr>
            <w:tcW w:type="dxa" w:w="1900"/>
            <w:shd w:fill="F2F2F2" w:val="clear"/>
            <w:tcMar>
              <w:top w:type="dxa" w:w="80"/>
              <w:left w:type="dxa" w:w="100"/>
              <w:bottom w:type="dxa" w:w="80"/>
              <w:right w:type="dxa" w:w="100"/>
            </w:tcMar>
          </w:tcPr>
          <w:p>
            <w:r>
              <w:rPr>
                <w:b w:val="false"/>
                <w:bCs w:val="false"/>
              </w:rPr>
              <w:t xml:space="preserve">Mes 1-3 (semanas 4-13)</w:t>
            </w:r>
          </w:p>
        </w:tc>
        <w:tc>
          <w:tcPr>
            <w:tcW w:type="dxa" w:w="5000"/>
            <w:shd w:fill="F2F2F2" w:val="clear"/>
            <w:tcMar>
              <w:top w:type="dxa" w:w="80"/>
              <w:left w:type="dxa" w:w="100"/>
              <w:bottom w:type="dxa" w:w="80"/>
              <w:right w:type="dxa" w:w="100"/>
            </w:tcMar>
          </w:tcPr>
          <w:p>
            <w:r>
              <w:rPr>
                <w:b w:val="false"/>
                <w:bCs w:val="false"/>
              </w:rPr>
              <w:t xml:space="preserve">App funcional en TestFlight; envío a App Store.</w:t>
            </w:r>
          </w:p>
        </w:tc>
      </w:tr>
      <w:tr>
        <w:tc>
          <w:tcPr>
            <w:tcW w:type="dxa" w:w="3400"/>
            <w:tcMar>
              <w:top w:type="dxa" w:w="80"/>
              <w:left w:type="dxa" w:w="100"/>
              <w:bottom w:type="dxa" w:w="80"/>
              <w:right w:type="dxa" w:w="100"/>
            </w:tcMar>
          </w:tcPr>
          <w:p>
            <w:r>
              <w:rPr>
                <w:b w:val="false"/>
                <w:bCs w:val="false"/>
              </w:rPr>
              <w:t xml:space="preserve">2. Android Mobile</w:t>
            </w:r>
          </w:p>
        </w:tc>
        <w:tc>
          <w:tcPr>
            <w:tcW w:type="dxa" w:w="1900"/>
            <w:tcMar>
              <w:top w:type="dxa" w:w="80"/>
              <w:left w:type="dxa" w:w="100"/>
              <w:bottom w:type="dxa" w:w="80"/>
              <w:right w:type="dxa" w:w="100"/>
            </w:tcMar>
          </w:tcPr>
          <w:p>
            <w:r>
              <w:rPr>
                <w:b w:val="false"/>
                <w:bCs w:val="false"/>
              </w:rPr>
              <w:t xml:space="preserve">Mes 3-4 (semanas 14-17)</w:t>
            </w:r>
          </w:p>
        </w:tc>
        <w:tc>
          <w:tcPr>
            <w:tcW w:type="dxa" w:w="5000"/>
            <w:tcMar>
              <w:top w:type="dxa" w:w="80"/>
              <w:left w:type="dxa" w:w="100"/>
              <w:bottom w:type="dxa" w:w="80"/>
              <w:right w:type="dxa" w:w="100"/>
            </w:tcMar>
          </w:tcPr>
          <w:p>
            <w:r>
              <w:rPr>
                <w:b w:val="false"/>
                <w:bCs w:val="false"/>
              </w:rPr>
              <w:t xml:space="preserve">App funcional en Play Store (beta cerrada).</w:t>
            </w:r>
          </w:p>
        </w:tc>
      </w:tr>
      <w:tr>
        <w:tc>
          <w:tcPr>
            <w:tcW w:type="dxa" w:w="3400"/>
            <w:shd w:fill="F2F2F2" w:val="clear"/>
            <w:tcMar>
              <w:top w:type="dxa" w:w="80"/>
              <w:left w:type="dxa" w:w="100"/>
              <w:bottom w:type="dxa" w:w="80"/>
              <w:right w:type="dxa" w:w="100"/>
            </w:tcMar>
          </w:tcPr>
          <w:p>
            <w:r>
              <w:rPr>
                <w:b w:val="false"/>
                <w:bCs w:val="false"/>
              </w:rPr>
              <w:t xml:space="preserve">3. tvOS</w:t>
            </w:r>
          </w:p>
        </w:tc>
        <w:tc>
          <w:tcPr>
            <w:tcW w:type="dxa" w:w="1900"/>
            <w:shd w:fill="F2F2F2" w:val="clear"/>
            <w:tcMar>
              <w:top w:type="dxa" w:w="80"/>
              <w:left w:type="dxa" w:w="100"/>
              <w:bottom w:type="dxa" w:w="80"/>
              <w:right w:type="dxa" w:w="100"/>
            </w:tcMar>
          </w:tcPr>
          <w:p>
            <w:r>
              <w:rPr>
                <w:b w:val="false"/>
                <w:bCs w:val="false"/>
              </w:rPr>
              <w:t xml:space="preserve">Mes 4-6 (semanas 18-23)</w:t>
            </w:r>
          </w:p>
        </w:tc>
        <w:tc>
          <w:tcPr>
            <w:tcW w:type="dxa" w:w="5000"/>
            <w:shd w:fill="F2F2F2" w:val="clear"/>
            <w:tcMar>
              <w:top w:type="dxa" w:w="80"/>
              <w:left w:type="dxa" w:w="100"/>
              <w:bottom w:type="dxa" w:w="80"/>
              <w:right w:type="dxa" w:w="100"/>
            </w:tcMar>
          </w:tcPr>
          <w:p>
            <w:r>
              <w:rPr>
                <w:b w:val="false"/>
                <w:bCs w:val="false"/>
              </w:rPr>
              <w:t xml:space="preserve">App tvOS en TestFlight; envío a App Store tvOS.</w:t>
            </w:r>
          </w:p>
        </w:tc>
      </w:tr>
      <w:tr>
        <w:tc>
          <w:tcPr>
            <w:tcW w:type="dxa" w:w="3400"/>
            <w:tcMar>
              <w:top w:type="dxa" w:w="80"/>
              <w:left w:type="dxa" w:w="100"/>
              <w:bottom w:type="dxa" w:w="80"/>
              <w:right w:type="dxa" w:w="100"/>
            </w:tcMar>
          </w:tcPr>
          <w:p>
            <w:r>
              <w:rPr>
                <w:b w:val="false"/>
                <w:bCs w:val="false"/>
              </w:rPr>
              <w:t xml:space="preserve">4. Android TV</w:t>
            </w:r>
          </w:p>
        </w:tc>
        <w:tc>
          <w:tcPr>
            <w:tcW w:type="dxa" w:w="1900"/>
            <w:tcMar>
              <w:top w:type="dxa" w:w="80"/>
              <w:left w:type="dxa" w:w="100"/>
              <w:bottom w:type="dxa" w:w="80"/>
              <w:right w:type="dxa" w:w="100"/>
            </w:tcMar>
          </w:tcPr>
          <w:p>
            <w:r>
              <w:rPr>
                <w:b w:val="false"/>
                <w:bCs w:val="false"/>
              </w:rPr>
              <w:t xml:space="preserve">Mes 6-7 (semanas 24-26)</w:t>
            </w:r>
          </w:p>
        </w:tc>
        <w:tc>
          <w:tcPr>
            <w:tcW w:type="dxa" w:w="5000"/>
            <w:tcMar>
              <w:top w:type="dxa" w:w="80"/>
              <w:left w:type="dxa" w:w="100"/>
              <w:bottom w:type="dxa" w:w="80"/>
              <w:right w:type="dxa" w:w="100"/>
            </w:tcMar>
          </w:tcPr>
          <w:p>
            <w:r>
              <w:rPr>
                <w:b w:val="false"/>
                <w:bCs w:val="false"/>
              </w:rPr>
              <w:t xml:space="preserve">App en Play Store TV (beta cerrada).</w:t>
            </w:r>
          </w:p>
        </w:tc>
      </w:tr>
      <w:tr>
        <w:tc>
          <w:tcPr>
            <w:tcW w:type="dxa" w:w="3400"/>
            <w:shd w:fill="F2F2F2" w:val="clear"/>
            <w:tcMar>
              <w:top w:type="dxa" w:w="80"/>
              <w:left w:type="dxa" w:w="100"/>
              <w:bottom w:type="dxa" w:w="80"/>
              <w:right w:type="dxa" w:w="100"/>
            </w:tcMar>
          </w:tcPr>
          <w:p>
            <w:r>
              <w:rPr>
                <w:b w:val="false"/>
                <w:bCs w:val="false"/>
              </w:rPr>
              <w:t xml:space="preserve">5. Fire TV (Fire OS)</w:t>
            </w:r>
          </w:p>
        </w:tc>
        <w:tc>
          <w:tcPr>
            <w:tcW w:type="dxa" w:w="1900"/>
            <w:shd w:fill="F2F2F2" w:val="clear"/>
            <w:tcMar>
              <w:top w:type="dxa" w:w="80"/>
              <w:left w:type="dxa" w:w="100"/>
              <w:bottom w:type="dxa" w:w="80"/>
              <w:right w:type="dxa" w:w="100"/>
            </w:tcMar>
          </w:tcPr>
          <w:p>
            <w:r>
              <w:rPr>
                <w:b w:val="false"/>
                <w:bCs w:val="false"/>
              </w:rPr>
              <w:t xml:space="preserve">Mes 7 (semanas 27-28)</w:t>
            </w:r>
          </w:p>
        </w:tc>
        <w:tc>
          <w:tcPr>
            <w:tcW w:type="dxa" w:w="5000"/>
            <w:shd w:fill="F2F2F2" w:val="clear"/>
            <w:tcMar>
              <w:top w:type="dxa" w:w="80"/>
              <w:left w:type="dxa" w:w="100"/>
              <w:bottom w:type="dxa" w:w="80"/>
              <w:right w:type="dxa" w:w="100"/>
            </w:tcMar>
          </w:tcPr>
          <w:p>
            <w:r>
              <w:rPr>
                <w:b w:val="false"/>
                <w:bCs w:val="false"/>
              </w:rPr>
              <w:t xml:space="preserve">App en Amazon Appstore (beta).</w:t>
            </w:r>
          </w:p>
        </w:tc>
      </w:tr>
      <w:tr>
        <w:tc>
          <w:tcPr>
            <w:tcW w:type="dxa" w:w="3400"/>
            <w:tcMar>
              <w:top w:type="dxa" w:w="80"/>
              <w:left w:type="dxa" w:w="100"/>
              <w:bottom w:type="dxa" w:w="80"/>
              <w:right w:type="dxa" w:w="100"/>
            </w:tcMar>
          </w:tcPr>
          <w:p>
            <w:r>
              <w:rPr>
                <w:b w:val="false"/>
                <w:bCs w:val="false"/>
              </w:rPr>
              <w:t xml:space="preserve">6. Fire TV (Vega OS)</w:t>
            </w:r>
          </w:p>
        </w:tc>
        <w:tc>
          <w:tcPr>
            <w:tcW w:type="dxa" w:w="1900"/>
            <w:tcMar>
              <w:top w:type="dxa" w:w="80"/>
              <w:left w:type="dxa" w:w="100"/>
              <w:bottom w:type="dxa" w:w="80"/>
              <w:right w:type="dxa" w:w="100"/>
            </w:tcMar>
          </w:tcPr>
          <w:p>
            <w:r>
              <w:rPr>
                <w:b w:val="false"/>
                <w:bCs w:val="false"/>
              </w:rPr>
              <w:t xml:space="preserve">Mes 7-8 (semanas 29-31)</w:t>
            </w:r>
          </w:p>
        </w:tc>
        <w:tc>
          <w:tcPr>
            <w:tcW w:type="dxa" w:w="5000"/>
            <w:tcMar>
              <w:top w:type="dxa" w:w="80"/>
              <w:left w:type="dxa" w:w="100"/>
              <w:bottom w:type="dxa" w:w="80"/>
              <w:right w:type="dxa" w:w="100"/>
            </w:tcMar>
          </w:tcPr>
          <w:p>
            <w:r>
              <w:rPr>
                <w:b w:val="false"/>
                <w:bCs w:val="false"/>
              </w:rPr>
              <w:t xml:space="preserve">App validada en Vega OS, envío a Amazon.</w:t>
            </w:r>
          </w:p>
        </w:tc>
      </w:tr>
    </w:tbl>
    <w:p>
      <w:pPr>
        <w:pStyle w:val="Heading1"/>
        <w:spacing w:after="160" w:before="320"/>
      </w:pPr>
      <w:r>
        <w:t xml:space="preserve">7. Equipo recomendado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900"/>
      </w:tblGrid>
      <w:tr>
        <w:trPr>
          <w:tblHeader/>
        </w:trPr>
        <w:tc>
          <w:tcPr>
            <w:tcW w:type="dxa" w:w="3000"/>
            <w:shd w:fill="1F3864" w:val="clear"/>
            <w:tcMar>
              <w:top w:type="dxa" w:w="80"/>
              <w:left w:type="dxa" w:w="100"/>
              <w:bottom w:type="dxa" w:w="80"/>
              <w:right w:type="dxa" w:w="100"/>
            </w:tcMar>
          </w:tcPr>
          <w:p>
            <w:r>
              <w:rPr>
                <w:b/>
                <w:bCs/>
                <w:color w:val="FFFFFF"/>
              </w:rPr>
              <w:t xml:space="preserve">Rol</w:t>
            </w:r>
          </w:p>
        </w:tc>
        <w:tc>
          <w:tcPr>
            <w:tcW w:type="dxa" w:w="2400"/>
            <w:shd w:fill="1F3864" w:val="clear"/>
            <w:tcMar>
              <w:top w:type="dxa" w:w="80"/>
              <w:left w:type="dxa" w:w="100"/>
              <w:bottom w:type="dxa" w:w="80"/>
              <w:right w:type="dxa" w:w="100"/>
            </w:tcMar>
          </w:tcPr>
          <w:p>
            <w:r>
              <w:rPr>
                <w:b/>
                <w:bCs/>
                <w:color w:val="FFFFFF"/>
              </w:rPr>
              <w:t xml:space="preserve">Dedicación</w:t>
            </w:r>
          </w:p>
        </w:tc>
        <w:tc>
          <w:tcPr>
            <w:tcW w:type="dxa" w:w="4900"/>
            <w:shd w:fill="1F3864" w:val="clear"/>
            <w:tcMar>
              <w:top w:type="dxa" w:w="80"/>
              <w:left w:type="dxa" w:w="100"/>
              <w:bottom w:type="dxa" w:w="80"/>
              <w:right w:type="dxa" w:w="100"/>
            </w:tcMar>
          </w:tcPr>
          <w:p>
            <w:r>
              <w:rPr>
                <w:b/>
                <w:bCs/>
                <w:color w:val="FFFFFF"/>
              </w:rPr>
              <w:t xml:space="preserve">Notas</w:t>
            </w:r>
          </w:p>
        </w:tc>
      </w:tr>
      <w:tr>
        <w:tc>
          <w:tcPr>
            <w:tcW w:type="dxa" w:w="3000"/>
            <w:tcMar>
              <w:top w:type="dxa" w:w="80"/>
              <w:left w:type="dxa" w:w="100"/>
              <w:bottom w:type="dxa" w:w="80"/>
              <w:right w:type="dxa" w:w="100"/>
            </w:tcMar>
          </w:tcPr>
          <w:p>
            <w:r>
              <w:rPr>
                <w:b w:val="false"/>
                <w:bCs w:val="false"/>
              </w:rPr>
              <w:t xml:space="preserve">Tech lead / arquitecto RN</w:t>
            </w:r>
          </w:p>
        </w:tc>
        <w:tc>
          <w:tcPr>
            <w:tcW w:type="dxa" w:w="2400"/>
            <w:tcMar>
              <w:top w:type="dxa" w:w="80"/>
              <w:left w:type="dxa" w:w="100"/>
              <w:bottom w:type="dxa" w:w="80"/>
              <w:right w:type="dxa" w:w="100"/>
            </w:tcMar>
          </w:tcPr>
          <w:p>
            <w:r>
              <w:rPr>
                <w:b w:val="false"/>
                <w:bCs w:val="false"/>
              </w:rPr>
              <w:t xml:space="preserve">Completa, todo el proyecto</w:t>
            </w:r>
          </w:p>
        </w:tc>
        <w:tc>
          <w:tcPr>
            <w:tcW w:type="dxa" w:w="4900"/>
            <w:tcMar>
              <w:top w:type="dxa" w:w="80"/>
              <w:left w:type="dxa" w:w="100"/>
              <w:bottom w:type="dxa" w:w="80"/>
              <w:right w:type="dxa" w:w="100"/>
            </w:tcMar>
          </w:tcPr>
          <w:p>
            <w:r>
              <w:rPr>
                <w:b w:val="false"/>
                <w:bCs w:val="false"/>
              </w:rPr>
              <w:t xml:space="preserve">Define arquitectura de engines, navegación y estructura multi-marca.</w:t>
            </w:r>
          </w:p>
        </w:tc>
      </w:tr>
      <w:tr>
        <w:tc>
          <w:tcPr>
            <w:tcW w:type="dxa" w:w="3000"/>
            <w:shd w:fill="F2F2F2" w:val="clear"/>
            <w:tcMar>
              <w:top w:type="dxa" w:w="80"/>
              <w:left w:type="dxa" w:w="100"/>
              <w:bottom w:type="dxa" w:w="80"/>
              <w:right w:type="dxa" w:w="100"/>
            </w:tcMar>
          </w:tcPr>
          <w:p>
            <w:r>
              <w:rPr>
                <w:b w:val="false"/>
                <w:bCs w:val="false"/>
              </w:rPr>
              <w:t xml:space="preserve">Desarrollador RN #1 y #2</w:t>
            </w:r>
          </w:p>
        </w:tc>
        <w:tc>
          <w:tcPr>
            <w:tcW w:type="dxa" w:w="2400"/>
            <w:shd w:fill="F2F2F2" w:val="clear"/>
            <w:tcMar>
              <w:top w:type="dxa" w:w="80"/>
              <w:left w:type="dxa" w:w="100"/>
              <w:bottom w:type="dxa" w:w="80"/>
              <w:right w:type="dxa" w:w="100"/>
            </w:tcMar>
          </w:tcPr>
          <w:p>
            <w:r>
              <w:rPr>
                <w:b w:val="false"/>
                <w:bCs w:val="false"/>
              </w:rPr>
              <w:t xml:space="preserve">Completa, todo el proyecto</w:t>
            </w:r>
          </w:p>
        </w:tc>
        <w:tc>
          <w:tcPr>
            <w:tcW w:type="dxa" w:w="4900"/>
            <w:shd w:fill="F2F2F2" w:val="clear"/>
            <w:tcMar>
              <w:top w:type="dxa" w:w="80"/>
              <w:left w:type="dxa" w:w="100"/>
              <w:bottom w:type="dxa" w:w="80"/>
              <w:right w:type="dxa" w:w="100"/>
            </w:tcMar>
          </w:tcPr>
          <w:p>
            <w:r>
              <w:rPr>
                <w:b w:val="false"/>
                <w:bCs w:val="false"/>
              </w:rPr>
              <w:t xml:space="preserve">Uno enfocado en mobile (Fases 1-2), otro rotando a TV desde la Fase 3.</w:t>
            </w:r>
          </w:p>
        </w:tc>
      </w:tr>
      <w:tr>
        <w:tc>
          <w:tcPr>
            <w:tcW w:type="dxa" w:w="3000"/>
            <w:tcMar>
              <w:top w:type="dxa" w:w="80"/>
              <w:left w:type="dxa" w:w="100"/>
              <w:bottom w:type="dxa" w:w="80"/>
              <w:right w:type="dxa" w:w="100"/>
            </w:tcMar>
          </w:tcPr>
          <w:p>
            <w:r>
              <w:rPr>
                <w:b w:val="false"/>
                <w:bCs w:val="false"/>
              </w:rPr>
              <w:t xml:space="preserve">Especialista en video/DRM</w:t>
            </w:r>
          </w:p>
        </w:tc>
        <w:tc>
          <w:tcPr>
            <w:tcW w:type="dxa" w:w="2400"/>
            <w:tcMar>
              <w:top w:type="dxa" w:w="80"/>
              <w:left w:type="dxa" w:w="100"/>
              <w:bottom w:type="dxa" w:w="80"/>
              <w:right w:type="dxa" w:w="100"/>
            </w:tcMar>
          </w:tcPr>
          <w:p>
            <w:r>
              <w:rPr>
                <w:b w:val="false"/>
                <w:bCs w:val="false"/>
              </w:rPr>
              <w:t xml:space="preserve">Part-time en Fases 1-2, completa en Fases 3-6</w:t>
            </w:r>
          </w:p>
        </w:tc>
        <w:tc>
          <w:tcPr>
            <w:tcW w:type="dxa" w:w="4900"/>
            <w:tcMar>
              <w:top w:type="dxa" w:w="80"/>
              <w:left w:type="dxa" w:w="100"/>
              <w:bottom w:type="dxa" w:w="80"/>
              <w:right w:type="dxa" w:w="100"/>
            </w:tcMar>
          </w:tcPr>
          <w:p>
            <w:r>
              <w:rPr>
                <w:b w:val="false"/>
                <w:bCs w:val="false"/>
              </w:rPr>
              <w:t xml:space="preserve">FairPlay, Widevine, integración con react-native-video v6.</w:t>
            </w:r>
          </w:p>
        </w:tc>
      </w:tr>
      <w:tr>
        <w:tc>
          <w:tcPr>
            <w:tcW w:type="dxa" w:w="3000"/>
            <w:shd w:fill="F2F2F2" w:val="clear"/>
            <w:tcMar>
              <w:top w:type="dxa" w:w="80"/>
              <w:left w:type="dxa" w:w="100"/>
              <w:bottom w:type="dxa" w:w="80"/>
              <w:right w:type="dxa" w:w="100"/>
            </w:tcMar>
          </w:tcPr>
          <w:p>
            <w:r>
              <w:rPr>
                <w:b w:val="false"/>
                <w:bCs w:val="false"/>
              </w:rPr>
              <w:t xml:space="preserve">QA</w:t>
            </w:r>
          </w:p>
        </w:tc>
        <w:tc>
          <w:tcPr>
            <w:tcW w:type="dxa" w:w="2400"/>
            <w:shd w:fill="F2F2F2" w:val="clear"/>
            <w:tcMar>
              <w:top w:type="dxa" w:w="80"/>
              <w:left w:type="dxa" w:w="100"/>
              <w:bottom w:type="dxa" w:w="80"/>
              <w:right w:type="dxa" w:w="100"/>
            </w:tcMar>
          </w:tcPr>
          <w:p>
            <w:r>
              <w:rPr>
                <w:b w:val="false"/>
                <w:bCs w:val="false"/>
              </w:rPr>
              <w:t xml:space="preserve">Creciente: part-time en Fase 0-1, completa desde Fase 2</w:t>
            </w:r>
          </w:p>
        </w:tc>
        <w:tc>
          <w:tcPr>
            <w:tcW w:type="dxa" w:w="4900"/>
            <w:shd w:fill="F2F2F2" w:val="clear"/>
            <w:tcMar>
              <w:top w:type="dxa" w:w="80"/>
              <w:left w:type="dxa" w:w="100"/>
              <w:bottom w:type="dxa" w:w="80"/>
              <w:right w:type="dxa" w:w="100"/>
            </w:tcMar>
          </w:tcPr>
          <w:p>
            <w:r>
              <w:rPr>
                <w:b w:val="false"/>
                <w:bCs w:val="false"/>
              </w:rPr>
              <w:t xml:space="preserve">Requiere dispositivos físicos por plataforma (no todo es validable en simulador, especialmente DRM y foco remoto).</w:t>
            </w:r>
          </w:p>
        </w:tc>
      </w:tr>
      <w:tr>
        <w:tc>
          <w:tcPr>
            <w:tcW w:type="dxa" w:w="3000"/>
            <w:tcMar>
              <w:top w:type="dxa" w:w="80"/>
              <w:left w:type="dxa" w:w="100"/>
              <w:bottom w:type="dxa" w:w="80"/>
              <w:right w:type="dxa" w:w="100"/>
            </w:tcMar>
          </w:tcPr>
          <w:p>
            <w:r>
              <w:rPr>
                <w:b w:val="false"/>
                <w:bCs w:val="false"/>
              </w:rPr>
              <w:t xml:space="preserve">Diseñador UI/UX</w:t>
            </w:r>
          </w:p>
        </w:tc>
        <w:tc>
          <w:tcPr>
            <w:tcW w:type="dxa" w:w="2400"/>
            <w:tcMar>
              <w:top w:type="dxa" w:w="80"/>
              <w:left w:type="dxa" w:w="100"/>
              <w:bottom w:type="dxa" w:w="80"/>
              <w:right w:type="dxa" w:w="100"/>
            </w:tcMar>
          </w:tcPr>
          <w:p>
            <w:r>
              <w:rPr>
                <w:b w:val="false"/>
                <w:bCs w:val="false"/>
              </w:rPr>
              <w:t xml:space="preserve">Part-time, foco en Fase 0-1 (diseño mobile) y Fase 3 (rediseño 10 pies)</w:t>
            </w:r>
          </w:p>
        </w:tc>
        <w:tc>
          <w:tcPr>
            <w:tcW w:type="dxa" w:w="4900"/>
            <w:tcMar>
              <w:top w:type="dxa" w:w="80"/>
              <w:left w:type="dxa" w:w="100"/>
              <w:bottom w:type="dxa" w:w="80"/>
              <w:right w:type="dxa" w:w="100"/>
            </w:tcMar>
          </w:tcPr>
          <w:p>
            <w:r>
              <w:rPr>
                <w:b w:val="false"/>
                <w:bCs w:val="false"/>
              </w:rPr>
              <w:t xml:space="preserve">Sistema de diseño único parametrizado por marca.</w:t>
            </w:r>
          </w:p>
        </w:tc>
      </w:tr>
    </w:tbl>
    <w:p>
      <w:pPr>
        <w:pStyle w:val="Heading1"/>
        <w:spacing w:after="160" w:before="320"/>
      </w:pPr>
      <w:r>
        <w:t xml:space="preserve">8. Riesgos y dependencias</w:t>
      </w:r>
    </w:p>
    <w:p>
      <w:pPr>
        <w:pStyle w:val="ListParagraph"/>
        <w:numPr>
          <w:ilvl w:val="0"/>
          <w:numId w:val="2"/>
        </w:numPr>
        <w:spacing w:after="80"/>
      </w:pPr>
      <w:r>
        <w:t xml:space="preserve">DRM: si Panaccess no entrega licencias Widevine/FairPlay listas para consumir, hay que sumar un servicio de licencias intermedio; esto no está incluido en la estimación y podría añadir 2-4 semanas.</w:t>
      </w:r>
    </w:p>
    <w:p>
      <w:pPr>
        <w:pStyle w:val="ListParagraph"/>
        <w:numPr>
          <w:ilvl w:val="0"/>
          <w:numId w:val="2"/>
        </w:numPr>
        <w:spacing w:after="80"/>
      </w:pPr>
      <w:r>
        <w:t xml:space="preserve">react-native-video: la versión 7 (en desarrollo, basada en Nitro modules) aún no soporta TV; el proyecto debe fijarse a la v6, con el riesgo de una migración futura cuando la v7 madure.</w:t>
      </w:r>
    </w:p>
    <w:p>
      <w:pPr>
        <w:pStyle w:val="ListParagraph"/>
        <w:numPr>
          <w:ilvl w:val="0"/>
          <w:numId w:val="2"/>
        </w:numPr>
        <w:spacing w:after="80"/>
      </w:pPr>
      <w:r>
        <w:t xml:space="preserve">Fire TV Vega OS: es una plataforma nueva (hoy solo en el Fire TV Stick 4K Select), con adopción de mercado aún baja y un toolchain de React Native fijado a la versión 0.72 con APIs limitadas. Es razonable evaluar si conviene ejecutarla de inmediato o dejarla como fase opcional dependiendo de la base de usuarios objetivo.</w:t>
      </w:r>
    </w:p>
    <w:p>
      <w:pPr>
        <w:pStyle w:val="ListParagraph"/>
        <w:numPr>
          <w:ilvl w:val="0"/>
          <w:numId w:val="2"/>
        </w:numPr>
        <w:spacing w:after="80"/>
      </w:pPr>
      <w:r>
        <w:t xml:space="preserve">Revisión de tiendas: Apple (tvOS especialmente), Google Play y Amazon Appstore tienen ciclos de revisión propios (días a semanas) no controlables por el equipo; el cronograma no los contempla como tiempo de desarrollo pero sí como riesgo de calendario.</w:t>
      </w:r>
    </w:p>
    <w:p>
      <w:pPr>
        <w:pStyle w:val="ListParagraph"/>
        <w:numPr>
          <w:ilvl w:val="0"/>
          <w:numId w:val="2"/>
        </w:numPr>
        <w:spacing w:after="80"/>
      </w:pPr>
      <w:r>
        <w:t xml:space="preserve">Multi-marca: si en algún momento se requiere que cada marca (Telecable, Bromteck, INTV, GigMax, Wind, CableAtlántico) tenga listados independientes en las tiendas (en vez de una sola app parametrizada), el esfuerzo de empaquetado, certificación y mantenimiento se multiplica por marca — conviene confirmar este punto antes de iniciar la Fase 1.</w:t>
      </w:r>
    </w:p>
    <w:p>
      <w:pPr>
        <w:pStyle w:val="Heading1"/>
        <w:spacing w:after="160" w:before="320"/>
      </w:pPr>
      <w:r>
        <w:t xml:space="preserve">9. Conclusión</w:t>
      </w:r>
    </w:p>
    <w:p>
      <w:pPr>
        <w:spacing w:after="160"/>
      </w:pPr>
      <w:r>
        <w:t xml:space="preserve">El proyecto es viable y se apoya en gran parte de la lógica de negocio ya existente, pero implica una reescritura completa de la capa visual y del sistema de navegación por control remoto, además de la integración de DRM nativo en cada plataforma. Empezar por iOS mobile permite validar los riesgos técnicos más altos (DRM, arquitectura de player) en el entorno más simple antes de escalar a cinco plataformas adicionales, y deja una base de código sólida para acelerar las fases siguientes.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2026-07-31T17:45:10.922Z</dcterms:created>
  <dcterms:modified xsi:type="dcterms:W3CDTF">2026-07-31T17:45:10.922Z</dcterms:modified>
</cp:coreProperties>
</file>

<file path=docProps/custom.xml><?xml version="1.0" encoding="utf-8"?>
<Properties xmlns="http://schemas.openxmlformats.org/officeDocument/2006/custom-properties" xmlns:vt="http://schemas.openxmlformats.org/officeDocument/2006/docPropsVTypes"/>
</file>