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55555"/>
          <w:sz w:val="18"/>
          <w:szCs w:val="18"/>
        </w:rPr>
        <w:t xml:space="preserve">WindTV — Integración de pagos (RevenueCat + Stripe)</w:t>
      </w:r>
    </w:p>
    <w:p>
      <w:pPr>
        <w:spacing w:after="260"/>
      </w:pPr>
      <w:r>
        <w:rPr>
          <w:b/>
          <w:bCs/>
          <w:color w:val="16323C"/>
          <w:sz w:val="34"/>
          <w:szCs w:val="34"/>
        </w:rPr>
        <w:t xml:space="preserve">Propuesta técnica: identificador de usuario y asignación de paquetes</w:t>
      </w:r>
    </w:p>
    <w:p>
      <w:pPr>
        <w:spacing w:after="300"/>
      </w:pPr>
      <w:r>
        <w:rPr>
          <w:i/>
          <w:iCs/>
          <w:color w:val="555555"/>
          <w:sz w:val="19"/>
          <w:szCs w:val="19"/>
        </w:rPr>
        <w:t xml:space="preserve">Preparado para revisión del equipo de Wind · 5 de agosto de 2026</w:t>
      </w:r>
    </w:p>
    <w:p>
      <w:pPr>
        <w:pStyle w:val="Heading1"/>
        <w:pBdr>
          <w:bottom w:val="single" w:color="1F6F78" w:sz="8" w:space="4"/>
        </w:pBdr>
        <w:spacing w:after="160" w:before="320"/>
      </w:pPr>
      <w:r>
        <w:rPr>
          <w:b/>
          <w:bCs/>
          <w:color w:val="16323C"/>
          <w:sz w:val="26"/>
          <w:szCs w:val="26"/>
        </w:rPr>
        <w:t xml:space="preserve">1. Contexto</w:t>
      </w:r>
    </w:p>
    <w:p>
      <w:pPr>
        <w:spacing w:after="140" w:line="300"/>
      </w:pPr>
      <w:r>
        <w:rPr>
          <w:color w:val="1A1A1A"/>
          <w:sz w:val="21"/>
          <w:szCs w:val="21"/>
        </w:rPr>
        <w:t xml:space="preserve">Como parte del análisis de la guía funcional y el anexo técnico de integración de suscripciones WindTV con RevenueCat y Stripe, se revisó el código ya implementado en el backend (PanAccess/Wind) para responder dos puntos abiertos: (1) qué valor usar como "App User ID" de RevenueCat, y (2) si ya existe un mecanismo para asignar o cambiar el paquete de un suscriptor una vez confirmado un pago externo. Este documento resume ambos hallazgos y una propuesta concreta para el primero.</w:t>
      </w:r>
    </w:p>
    <w:p>
      <w:pPr>
        <w:pStyle w:val="Heading1"/>
        <w:pBdr>
          <w:bottom w:val="single" w:color="1F6F78" w:sz="8" w:space="4"/>
        </w:pBdr>
        <w:spacing w:after="160" w:before="320"/>
      </w:pPr>
      <w:r>
        <w:rPr>
          <w:b/>
          <w:bCs/>
          <w:color w:val="16323C"/>
          <w:sz w:val="26"/>
          <w:szCs w:val="26"/>
        </w:rPr>
        <w:t xml:space="preserve">2. Identificador de usuario para RevenueCat (App User ID)</w:t>
      </w:r>
    </w:p>
    <w:p>
      <w:pPr>
        <w:pStyle w:val="Heading2"/>
        <w:spacing w:after="100" w:before="240"/>
      </w:pPr>
      <w:r>
        <w:rPr>
          <w:b/>
          <w:bCs/>
          <w:color w:val="1F6F78"/>
          <w:sz w:val="22"/>
          <w:szCs w:val="22"/>
        </w:rPr>
        <w:t xml:space="preserve">2.1 Problema con usar el subscriber_code existente</w:t>
      </w:r>
    </w:p>
    <w:p>
      <w:pPr>
        <w:spacing w:after="140" w:line="300"/>
      </w:pPr>
      <w:r>
        <w:rPr>
          <w:color w:val="1A1A1A"/>
          <w:sz w:val="21"/>
          <w:szCs w:val="21"/>
        </w:rPr>
        <w:t xml:space="preserve">La idea inicial fue usar el subscriber_code que ya identifica al suscriptor en PanAccess. Al revisar cómo se genera hoy, se encontraron dos variantes, y ninguna cumple el requisito que el propio documento de RevenueCat establece para el App User ID: debe ser aleatorio y no adivinable.</w:t>
      </w:r>
    </w:p>
    <w:p>
      <w:pPr>
        <w:pStyle w:val="ListParagraph"/>
        <w:numPr>
          <w:ilvl w:val="0"/>
          <w:numId w:val="2"/>
        </w:numPr>
        <w:spacing w:after="80" w:line="290"/>
      </w:pPr>
      <w:r>
        <w:rPr>
          <w:color w:val="1A1A1A"/>
          <w:sz w:val="21"/>
          <w:szCs w:val="21"/>
        </w:rPr>
        <w:t xml:space="preserve">Registro manual con documento: el código es "BM$" seguido del número de documento (cédula o pasaporte) real de la persona.</w:t>
      </w:r>
    </w:p>
    <w:p>
      <w:pPr>
        <w:pStyle w:val="ListParagraph"/>
        <w:numPr>
          <w:ilvl w:val="0"/>
          <w:numId w:val="2"/>
        </w:numPr>
        <w:spacing w:after="80" w:line="290"/>
      </w:pPr>
      <w:r>
        <w:rPr>
          <w:color w:val="1A1A1A"/>
          <w:sz w:val="21"/>
          <w:szCs w:val="21"/>
        </w:rPr>
        <w:t xml:space="preserve">Registro social o sin documento: el código es un prefijo ("BG$", "BF$", "BM$AUTO") seguido de un contador numérico corto y secuencial.</w:t>
      </w:r>
    </w:p>
    <w:p>
      <w:pPr>
        <w:spacing w:after="140" w:line="300"/>
      </w:pPr>
      <w:r>
        <w:rPr>
          <w:color w:val="1A1A1A"/>
          <w:sz w:val="21"/>
          <w:szCs w:val="21"/>
        </w:rPr>
        <w:t xml:space="preserve">El primer caso expone un dato personal sensible si ese identificador llega a aparecer en el SDK de RevenueCat, en dashboards, en tickets de soporte o en cualquier registro de terceros. El segundo caso es enumerable: con la clave pública de RevenueCat, cualquier cliente puede consultar el estado de suscripción (CustomerInfo) de un App User ID que adivine simplemente incrementando el contador.</w:t>
      </w:r>
    </w:p>
    <w:p>
      <w:pPr>
        <w:pStyle w:val="Heading2"/>
        <w:spacing w:after="100" w:before="240"/>
      </w:pPr>
      <w:r>
        <w:rPr>
          <w:b/>
          <w:bCs/>
          <w:color w:val="1F6F78"/>
          <w:sz w:val="22"/>
          <w:szCs w:val="22"/>
        </w:rPr>
        <w:t xml:space="preserve">2.2 Propuesta</w:t>
      </w:r>
    </w:p>
    <w:p>
      <w:pPr>
        <w:spacing w:after="140" w:line="300"/>
      </w:pPr>
      <w:r>
        <w:rPr>
          <w:color w:val="1A1A1A"/>
          <w:sz w:val="21"/>
          <w:szCs w:val="21"/>
        </w:rPr>
        <w:t xml:space="preserve">Generar un identificador nuevo, dedicado exclusivamente a esta integración, y usarlo como App User ID en lugar del subscriber_code:</w:t>
      </w:r>
    </w:p>
    <w:p>
      <w:pPr>
        <w:pStyle w:val="ListParagraph"/>
        <w:numPr>
          <w:ilvl w:val="0"/>
          <w:numId w:val="2"/>
        </w:numPr>
        <w:spacing w:after="80" w:line="290"/>
      </w:pPr>
      <w:r>
        <w:rPr>
          <w:color w:val="1A1A1A"/>
          <w:sz w:val="21"/>
          <w:szCs w:val="21"/>
        </w:rPr>
        <w:t xml:space="preserve">Un UUID aleatorio (UUIDv4), generado una sola vez por cuenta — en el primer login o en el registro.</w:t>
      </w:r>
    </w:p>
    <w:p>
      <w:pPr>
        <w:pStyle w:val="ListParagraph"/>
        <w:numPr>
          <w:ilvl w:val="0"/>
          <w:numId w:val="2"/>
        </w:numPr>
        <w:spacing w:after="80" w:line="290"/>
      </w:pPr>
      <w:r>
        <w:rPr>
          <w:color w:val="1A1A1A"/>
          <w:sz w:val="21"/>
          <w:szCs w:val="21"/>
        </w:rPr>
        <w:t xml:space="preserve">Sin relación matemática ni de formato con el documento, el email, el teléfono o el subscriber_code.</w:t>
      </w:r>
    </w:p>
    <w:p>
      <w:pPr>
        <w:pStyle w:val="ListParagraph"/>
        <w:numPr>
          <w:ilvl w:val="0"/>
          <w:numId w:val="2"/>
        </w:numPr>
        <w:spacing w:after="80" w:line="290"/>
      </w:pPr>
      <w:r>
        <w:rPr>
          <w:color w:val="1A1A1A"/>
          <w:sz w:val="21"/>
          <w:szCs w:val="21"/>
        </w:rPr>
        <w:t xml:space="preserve">El subscriber_code y demás datos de PanAccess nunca se envían al SDK de RevenueCat ni aparecen en el cliente (app/web); solo el backend conoce la relación UUID ↔ subscriber_code.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700"/>
      </w:tblGrid>
      <w:tr>
        <w:tc>
          <w:tcPr>
            <w:tcW w:type="dxa" w:w="2400"/>
            <w:shd w:fill="1F6F78" w:val="clear"/>
            <w:tcMar>
              <w:top w:type="dxa" w:w="100"/>
              <w:left w:type="dxa" w:w="120"/>
              <w:bottom w:type="dxa" w:w="100"/>
              <w:right w:type="dxa" w:w="120"/>
            </w:tcMar>
          </w:tcPr>
          <w:p>
            <w:r>
              <w:rPr>
                <w:b/>
                <w:bCs/>
                <w:color w:val="FFFFFF"/>
                <w:sz w:val="20"/>
                <w:szCs w:val="20"/>
              </w:rPr>
              <w:t xml:space="preserve">Esquema</w:t>
            </w:r>
          </w:p>
        </w:tc>
        <w:tc>
          <w:tcPr>
            <w:tcW w:type="dxa" w:w="3700"/>
            <w:shd w:fill="1F6F78" w:val="clear"/>
            <w:tcMar>
              <w:top w:type="dxa" w:w="100"/>
              <w:left w:type="dxa" w:w="120"/>
              <w:bottom w:type="dxa" w:w="100"/>
              <w:right w:type="dxa" w:w="120"/>
            </w:tcMar>
          </w:tcPr>
          <w:p>
            <w:r>
              <w:rPr>
                <w:b/>
                <w:bCs/>
                <w:color w:val="FFFFFF"/>
                <w:sz w:val="20"/>
                <w:szCs w:val="20"/>
              </w:rPr>
              <w:t xml:space="preserve">subscriber_code (actual)</w:t>
            </w:r>
          </w:p>
        </w:tc>
        <w:tc>
          <w:tcPr>
            <w:tcW w:type="dxa" w:w="3700"/>
            <w:shd w:fill="1F6F78" w:val="clear"/>
            <w:tcMar>
              <w:top w:type="dxa" w:w="100"/>
              <w:left w:type="dxa" w:w="120"/>
              <w:bottom w:type="dxa" w:w="100"/>
              <w:right w:type="dxa" w:w="120"/>
            </w:tcMar>
          </w:tcPr>
          <w:p>
            <w:r>
              <w:rPr>
                <w:b/>
                <w:bCs/>
                <w:color w:val="FFFFFF"/>
                <w:sz w:val="20"/>
                <w:szCs w:val="20"/>
              </w:rPr>
              <w:t xml:space="preserve">UUID dedicado (propuesto)</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Registro manual</w:t>
            </w:r>
          </w:p>
        </w:tc>
        <w:tc>
          <w:tcPr>
            <w:tcW w:type="dxa" w:w="3700"/>
            <w:shd w:fill="FFFFFF" w:val="clear"/>
            <w:tcMar>
              <w:top w:type="dxa" w:w="100"/>
              <w:left w:type="dxa" w:w="120"/>
              <w:bottom w:type="dxa" w:w="100"/>
              <w:right w:type="dxa" w:w="120"/>
            </w:tcMar>
          </w:tcPr>
          <w:p>
            <w:r>
              <w:rPr>
                <w:b w:val="false"/>
                <w:bCs w:val="false"/>
                <w:color w:val="1A1A1A"/>
                <w:sz w:val="20"/>
                <w:szCs w:val="20"/>
              </w:rPr>
              <w:t xml:space="preserve">BM$ + número de documento (cédula/pasaporte) real</w:t>
            </w:r>
          </w:p>
        </w:tc>
        <w:tc>
          <w:tcPr>
            <w:tcW w:type="dxa" w:w="3700"/>
            <w:shd w:fill="FFFFFF" w:val="clear"/>
            <w:tcMar>
              <w:top w:type="dxa" w:w="100"/>
              <w:left w:type="dxa" w:w="120"/>
              <w:bottom w:type="dxa" w:w="100"/>
              <w:right w:type="dxa" w:w="120"/>
            </w:tcMar>
          </w:tcPr>
          <w:p>
            <w:r>
              <w:rPr>
                <w:b w:val="false"/>
                <w:bCs w:val="false"/>
                <w:color w:val="1A1A1A"/>
                <w:sz w:val="20"/>
                <w:szCs w:val="20"/>
              </w:rPr>
              <w:t xml:space="preserve">Valor aleatorio, sin relación con datos personales</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Registro social / sin documento</w:t>
            </w:r>
          </w:p>
        </w:tc>
        <w:tc>
          <w:tcPr>
            <w:tcW w:type="dxa" w:w="3700"/>
            <w:shd w:fill="FFFFFF" w:val="clear"/>
            <w:tcMar>
              <w:top w:type="dxa" w:w="100"/>
              <w:left w:type="dxa" w:w="120"/>
              <w:bottom w:type="dxa" w:w="100"/>
              <w:right w:type="dxa" w:w="120"/>
            </w:tcMar>
          </w:tcPr>
          <w:p>
            <w:r>
              <w:rPr>
                <w:b w:val="false"/>
                <w:bCs w:val="false"/>
                <w:color w:val="1A1A1A"/>
                <w:sz w:val="20"/>
                <w:szCs w:val="20"/>
              </w:rPr>
              <w:t xml:space="preserve">BG$ / BF$ / BM$AUTO + contador secuencial corto</w:t>
            </w:r>
          </w:p>
        </w:tc>
        <w:tc>
          <w:tcPr>
            <w:tcW w:type="dxa" w:w="3700"/>
            <w:shd w:fill="FFFFFF" w:val="clear"/>
            <w:tcMar>
              <w:top w:type="dxa" w:w="100"/>
              <w:left w:type="dxa" w:w="120"/>
              <w:bottom w:type="dxa" w:w="100"/>
              <w:right w:type="dxa" w:w="120"/>
            </w:tcMar>
          </w:tcPr>
          <w:p>
            <w:r>
              <w:rPr>
                <w:b w:val="false"/>
                <w:bCs w:val="false"/>
                <w:color w:val="1A1A1A"/>
                <w:sz w:val="20"/>
                <w:szCs w:val="20"/>
              </w:rPr>
              <w:t xml:space="preserve">Mismo valor aleatorio en todos los casos</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Adivinable / enumerable</w:t>
            </w:r>
          </w:p>
        </w:tc>
        <w:tc>
          <w:tcPr>
            <w:tcW w:type="dxa" w:w="3700"/>
            <w:shd w:fill="FFFFFF" w:val="clear"/>
            <w:tcMar>
              <w:top w:type="dxa" w:w="100"/>
              <w:left w:type="dxa" w:w="120"/>
              <w:bottom w:type="dxa" w:w="100"/>
              <w:right w:type="dxa" w:w="120"/>
            </w:tcMar>
          </w:tcPr>
          <w:p>
            <w:r>
              <w:rPr>
                <w:b w:val="false"/>
                <w:bCs w:val="false"/>
                <w:color w:val="1A1A1A"/>
                <w:sz w:val="20"/>
                <w:szCs w:val="20"/>
              </w:rPr>
              <w:t xml:space="preserve">Sí (contador corto o documento con formato conocido)</w:t>
            </w:r>
          </w:p>
        </w:tc>
        <w:tc>
          <w:tcPr>
            <w:tcW w:type="dxa" w:w="3700"/>
            <w:shd w:fill="FFFFFF" w:val="clear"/>
            <w:tcMar>
              <w:top w:type="dxa" w:w="100"/>
              <w:left w:type="dxa" w:w="120"/>
              <w:bottom w:type="dxa" w:w="100"/>
              <w:right w:type="dxa" w:w="120"/>
            </w:tcMar>
          </w:tcPr>
          <w:p>
            <w:r>
              <w:rPr>
                <w:b w:val="false"/>
                <w:bCs w:val="false"/>
                <w:color w:val="1A1A1A"/>
                <w:sz w:val="20"/>
                <w:szCs w:val="20"/>
              </w:rPr>
              <w:t xml:space="preserve">No (128 bits aleatorios, sin patrón)</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Expone dato personal si se filtra</w:t>
            </w:r>
          </w:p>
        </w:tc>
        <w:tc>
          <w:tcPr>
            <w:tcW w:type="dxa" w:w="3700"/>
            <w:shd w:fill="FFFFFF" w:val="clear"/>
            <w:tcMar>
              <w:top w:type="dxa" w:w="100"/>
              <w:left w:type="dxa" w:w="120"/>
              <w:bottom w:type="dxa" w:w="100"/>
              <w:right w:type="dxa" w:w="120"/>
            </w:tcMar>
          </w:tcPr>
          <w:p>
            <w:r>
              <w:rPr>
                <w:b w:val="false"/>
                <w:bCs w:val="false"/>
                <w:color w:val="1A1A1A"/>
                <w:sz w:val="20"/>
                <w:szCs w:val="20"/>
              </w:rPr>
              <w:t xml:space="preserve">Sí, en el caso con documento</w:t>
            </w:r>
          </w:p>
        </w:tc>
        <w:tc>
          <w:tcPr>
            <w:tcW w:type="dxa" w:w="3700"/>
            <w:shd w:fill="FFFFFF" w:val="clear"/>
            <w:tcMar>
              <w:top w:type="dxa" w:w="100"/>
              <w:left w:type="dxa" w:w="120"/>
              <w:bottom w:type="dxa" w:w="100"/>
              <w:right w:type="dxa" w:w="120"/>
            </w:tcMar>
          </w:tcPr>
          <w:p>
            <w:r>
              <w:rPr>
                <w:b w:val="false"/>
                <w:bCs w:val="false"/>
                <w:color w:val="1A1A1A"/>
                <w:sz w:val="20"/>
                <w:szCs w:val="20"/>
              </w:rPr>
              <w:t xml:space="preserve">No</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Cumple el requisito del documento ("aleatorio, no adivinable")</w:t>
            </w:r>
          </w:p>
        </w:tc>
        <w:tc>
          <w:tcPr>
            <w:tcW w:type="dxa" w:w="3700"/>
            <w:shd w:fill="FFFFFF" w:val="clear"/>
            <w:tcMar>
              <w:top w:type="dxa" w:w="100"/>
              <w:left w:type="dxa" w:w="120"/>
              <w:bottom w:type="dxa" w:w="100"/>
              <w:right w:type="dxa" w:w="120"/>
            </w:tcMar>
          </w:tcPr>
          <w:p>
            <w:r>
              <w:rPr>
                <w:b w:val="false"/>
                <w:bCs w:val="false"/>
                <w:color w:val="1A1A1A"/>
                <w:sz w:val="20"/>
                <w:szCs w:val="20"/>
              </w:rPr>
              <w:t xml:space="preserve">No</w:t>
            </w:r>
          </w:p>
        </w:tc>
        <w:tc>
          <w:tcPr>
            <w:tcW w:type="dxa" w:w="3700"/>
            <w:shd w:fill="FFFFFF" w:val="clear"/>
            <w:tcMar>
              <w:top w:type="dxa" w:w="100"/>
              <w:left w:type="dxa" w:w="120"/>
              <w:bottom w:type="dxa" w:w="100"/>
              <w:right w:type="dxa" w:w="120"/>
            </w:tcMar>
          </w:tcPr>
          <w:p>
            <w:r>
              <w:rPr>
                <w:b w:val="false"/>
                <w:bCs w:val="false"/>
                <w:color w:val="1A1A1A"/>
                <w:sz w:val="20"/>
                <w:szCs w:val="20"/>
              </w:rPr>
              <w:t xml:space="preserve">Sí</w:t>
            </w:r>
          </w:p>
        </w:tc>
      </w:tr>
    </w:tbl>
    <w:p>
      <w:pPr>
        <w:spacing w:before="200"/>
      </w:pPr>
    </w:p>
    <w:p>
      <w:pPr>
        <w:pStyle w:val="Heading2"/>
        <w:spacing w:after="100" w:before="240"/>
      </w:pPr>
      <w:r>
        <w:rPr>
          <w:b/>
          <w:bCs/>
          <w:color w:val="1F6F78"/>
          <w:sz w:val="22"/>
          <w:szCs w:val="22"/>
        </w:rPr>
        <w:t xml:space="preserve">2.3 Dónde almacenarlo</w:t>
      </w:r>
    </w:p>
    <w:p>
      <w:pPr>
        <w:spacing w:after="140" w:line="300"/>
      </w:pPr>
      <w:r>
        <w:rPr>
          <w:color w:val="1A1A1A"/>
          <w:sz w:val="21"/>
          <w:szCs w:val="21"/>
        </w:rPr>
        <w:t xml:space="preserve">El campo que guarde este UUID debe vivir fuera de las tablas que se sincronizan por completo desde PanAccess (ListOfSubscriber se sobrescribe en cada corrida de sincronización con lo que devuelve PanAccess), para evitar que un proceso de sync borre o reemplace el valor sin darse cuenta. Se recomienda una tabla dedicada, uno a uno con el suscriptor por su código, siguiendo el mismo patrón que ya se usa para otros datos "propios" del sistema que no vienen de PanAccess.</w:t>
      </w:r>
    </w:p>
    <w:p>
      <w:pPr>
        <w:pStyle w:val="Heading1"/>
        <w:pBdr>
          <w:bottom w:val="single" w:color="1F6F78" w:sz="8" w:space="4"/>
        </w:pBdr>
        <w:spacing w:after="160" w:before="320"/>
      </w:pPr>
      <w:r>
        <w:rPr>
          <w:b/>
          <w:bCs/>
          <w:color w:val="16323C"/>
          <w:sz w:val="26"/>
          <w:szCs w:val="26"/>
        </w:rPr>
        <w:t xml:space="preserve">3. Asignación de paquete a un suscriptor existente</w:t>
      </w:r>
    </w:p>
    <w:p>
      <w:pPr>
        <w:spacing w:after="140" w:line="300"/>
      </w:pPr>
      <w:r>
        <w:rPr>
          <w:color w:val="1A1A1A"/>
          <w:sz w:val="21"/>
          <w:szCs w:val="21"/>
        </w:rPr>
        <w:t xml:space="preserve">Se confirma lo indicado: sí existe, en el flujo de creación de suscriptor, una llamada a PanAccess que asigna un producto/paquete a las smartcards de un suscriptor (addProductToSmartcards). Esa misma llamada ya se reutiliza hoy en un proceso de reintento en segundo plano contra suscriptores que llevan tiempo creados, por lo que el mecanismo no está limitado al momento de alta: puede invocarse en cualquier momento posterior, que es justamente lo que necesita el flujo de "pago externo confirmado → activar/renovar paquete".</w:t>
      </w:r>
    </w:p>
    <w:p>
      <w:pPr>
        <w:pStyle w:val="Heading2"/>
        <w:spacing w:after="100" w:before="240"/>
      </w:pPr>
      <w:r>
        <w:rPr>
          <w:b/>
          <w:bCs/>
          <w:color w:val="1F6F78"/>
          <w:sz w:val="22"/>
          <w:szCs w:val="22"/>
        </w:rPr>
        <w:t xml:space="preserve">3.1 Alcance real del mecanismo</w:t>
      </w:r>
    </w:p>
    <w:p>
      <w:pPr>
        <w:spacing w:after="140" w:line="300"/>
      </w:pPr>
      <w:r>
        <w:rPr>
          <w:color w:val="1A1A1A"/>
          <w:sz w:val="21"/>
          <w:szCs w:val="21"/>
        </w:rPr>
        <w:t xml:space="preserve">Un punto a tener en cuenta para el diseño: esta llamada es aditiva. Agrega un producto con su fecha de expiración; no reemplaza ni cancela un producto existente. Sirve directamente para altas y renovaciones (mismo paquete, nueva fecha de vencimiento). Para los casos donde haga falta retirar un producto — cancelación, fin de período de gracia — el backend cuenta con las llamadas de PanAccess para quitar productos de una smartcard, pero hoy solo están integradas y probadas para el cierre total de una cuenta (se borra el suscriptor completo), no para "quitar un paquete puntual y dejar la cuenta activa". Como el documento de la guía deja upgrade/downgrade fuera del alcance de esta primera fase, esto no bloquea el arranque, pero si se necesita reflejar cancelaciones (estado EXPIRED de RevenueCat) sin borrar al suscriptor, ese camino habría que construirlo y probarlo aparte.</w:t>
      </w:r>
    </w:p>
    <w:p>
      <w:pPr>
        <w:pStyle w:val="Heading1"/>
        <w:pBdr>
          <w:bottom w:val="single" w:color="1F6F78" w:sz="8" w:space="4"/>
        </w:pBdr>
        <w:spacing w:after="160" w:before="320"/>
      </w:pPr>
      <w:r>
        <w:rPr>
          <w:b/>
          <w:bCs/>
          <w:color w:val="16323C"/>
          <w:sz w:val="26"/>
          <w:szCs w:val="26"/>
        </w:rPr>
        <w:t xml:space="preserve">4. Próximos pasos</w:t>
      </w:r>
    </w:p>
    <w:p>
      <w:pPr>
        <w:pStyle w:val="ListParagraph"/>
        <w:numPr>
          <w:ilvl w:val="0"/>
          <w:numId w:val="2"/>
        </w:numPr>
        <w:spacing w:after="80" w:line="290"/>
      </w:pPr>
      <w:r>
        <w:rPr>
          <w:color w:val="1A1A1A"/>
          <w:sz w:val="21"/>
          <w:szCs w:val="21"/>
        </w:rPr>
        <w:t xml:space="preserve">Confirmar con el equipo de Wind el esquema de UUID propuesto en la sección 2 antes de generarlo en producción.</w:t>
      </w:r>
    </w:p>
    <w:p>
      <w:pPr>
        <w:pStyle w:val="ListParagraph"/>
        <w:numPr>
          <w:ilvl w:val="0"/>
          <w:numId w:val="2"/>
        </w:numPr>
        <w:spacing w:after="80" w:line="290"/>
      </w:pPr>
      <w:r>
        <w:rPr>
          <w:color w:val="1A1A1A"/>
          <w:sz w:val="21"/>
          <w:szCs w:val="21"/>
        </w:rPr>
        <w:t xml:space="preserve">Definir dónde y cuándo se genera el UUID (registro nuevo vs. primer login de un suscriptor ya existente).</w:t>
      </w:r>
    </w:p>
    <w:p>
      <w:pPr>
        <w:pStyle w:val="ListParagraph"/>
        <w:numPr>
          <w:ilvl w:val="0"/>
          <w:numId w:val="2"/>
        </w:numPr>
        <w:spacing w:after="80" w:line="290"/>
      </w:pPr>
      <w:r>
        <w:rPr>
          <w:color w:val="1A1A1A"/>
          <w:sz w:val="21"/>
          <w:szCs w:val="21"/>
        </w:rPr>
        <w:t xml:space="preserve">Precisar, junto con RevenueCat/Stripe, si se necesita soporte de cancelación/downgrade en esta fase o queda confirmado para una fase posterior, dado el hallazgo de la sección 3.1.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2026-08-05T20:57:13.684Z</dcterms:created>
  <dcterms:modified xsi:type="dcterms:W3CDTF">2026-08-05T20:57:13.685Z</dcterms:modified>
</cp:coreProperties>
</file>

<file path=docProps/custom.xml><?xml version="1.0" encoding="utf-8"?>
<Properties xmlns="http://schemas.openxmlformats.org/officeDocument/2006/custom-properties" xmlns:vt="http://schemas.openxmlformats.org/officeDocument/2006/docPropsVTypes"/>
</file>