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440B9">
      <w:pPr>
        <w:pStyle w:val="2"/>
      </w:pPr>
      <w:r>
        <w:rPr>
          <w:rFonts w:ascii="微软雅黑" w:hAnsi="微软雅黑" w:eastAsia="微软雅黑" w:cs="微软雅黑"/>
          <w:b/>
          <w:bCs/>
          <w:sz w:val="36"/>
          <w:szCs w:val="36"/>
        </w:rPr>
        <w:t>Oracle</w:t>
      </w:r>
      <w:r>
        <w:rPr>
          <w:rFonts w:hint="eastAsia" w:cs="微软雅黑"/>
          <w:b/>
          <w:bCs/>
          <w:sz w:val="36"/>
          <w:szCs w:val="36"/>
          <w:lang w:val="en-US" w:eastAsia="zh-CN"/>
        </w:rPr>
        <w:t xml:space="preserve"> RAC</w:t>
      </w:r>
      <w:bookmarkStart w:id="0" w:name="_GoBack"/>
      <w:bookmarkEnd w:id="0"/>
      <w:r>
        <w:rPr>
          <w:rFonts w:ascii="微软雅黑" w:hAnsi="微软雅黑" w:eastAsia="微软雅黑" w:cs="微软雅黑"/>
          <w:b/>
          <w:bCs/>
          <w:sz w:val="36"/>
          <w:szCs w:val="36"/>
        </w:rPr>
        <w:t xml:space="preserve"> → PostgreSQL 迁移工作量估算概览</w:t>
      </w:r>
    </w:p>
    <w:p w14:paraId="556D6E1C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一、迁移规模说明</w:t>
      </w:r>
    </w:p>
    <w:p w14:paraId="045849B5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本次迁移涉及6个Schema，共1293张Oracle表，映射至2401张PostgreSQL表。</w:t>
      </w:r>
    </w:p>
    <w:p w14:paraId="2A92D6A4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其中1282张表可正常迁移，12张表因结构冲突需定制处理。</w:t>
      </w:r>
    </w:p>
    <w:p w14:paraId="55C064EB">
      <w:pPr>
        <w:spacing w:after="160"/>
      </w:pPr>
      <w:r>
        <w:rPr>
          <w:rFonts w:ascii="微软雅黑" w:hAnsi="微软雅黑" w:eastAsia="微软雅黑" w:cs="微软雅黑"/>
          <w:color w:val="CC0000"/>
          <w:sz w:val="22"/>
          <w:szCs w:val="22"/>
        </w:rPr>
        <w:t>PG表数量是Oracle的1.86倍，表明存在大量表拆分/结构重构，需额外关注映射规则维护。</w:t>
      </w:r>
    </w:p>
    <w:p w14:paraId="3D1E7DED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二、工作量估算明细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1800"/>
        <w:gridCol w:w="3200"/>
        <w:gridCol w:w="1000"/>
        <w:gridCol w:w="2760"/>
      </w:tblGrid>
      <w:tr w14:paraId="5F20F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B9BEE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9A04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项目阶段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F8981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工作内容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3A22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工作量
（人月）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A659E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备注说明</w:t>
            </w:r>
          </w:p>
        </w:tc>
      </w:tr>
      <w:tr w14:paraId="40E97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8D627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61815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迁移调研与基础环境准备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F7C6F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数据迁移调研
制定迁移方案
迁移工具RPS部署
Oracle→PG表映射规则梳理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A6EC3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1.0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051E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迁移范围：依据迁移表清单（6个Schema，1293张Oracle表→2401张PG表），以Oracle RAC作为数据源迁移数据至PostgreSQL
迁移不涉及当前生产环境业务SQL改造（应用层适配需另立项）</w:t>
            </w:r>
          </w:p>
        </w:tc>
      </w:tr>
      <w:tr w14:paraId="1B2C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4F6FF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3DF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数据先导迁移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221BA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小范围预迁移（覆盖各Schema代表性样本）
找出制约迁移速度的瓶颈
优化以提升迁移效率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F0C6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0.5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04552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找出并解决迁移过程中影响效率的瓶颈；验证表拆分/映射规则的正确性；为正式迁移做验证和调优准备</w:t>
            </w:r>
          </w:p>
        </w:tc>
      </w:tr>
      <w:tr w14:paraId="1B6A4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C03C9D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3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E4D6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数据迁移+验证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88CF77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全量数据迁移
增量数据迁移
数据一致性校验（行数+数值字段sum等多维度）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A52AE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2.0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503EA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每日需对迁移的表做多维度统计（数据量、数值字段sum等），对比源端数据一致性；对应迁移失败的表需分析原因并重新迁移；1282张表全量迁移工作量较大</w:t>
            </w:r>
          </w:p>
        </w:tc>
      </w:tr>
      <w:tr w14:paraId="6E117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C60BB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4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E6836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问题表定制处理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F6697E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12张未迁移表的分析与处理
复合索引冲突数据清洗
Default值/NOT NULL约束修复
一对多列映射定制ETL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30375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1.0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C728DD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TBAADM：3张表（复合索引唯一键冲突）
FINFADM：4张表（Default值/NOT NULL约束）
CIF：1张表（一对多列映射，4源表→1目标表）
需定制处理逻辑，无法使用标准工具</w:t>
            </w:r>
          </w:p>
        </w:tc>
      </w:tr>
      <w:tr w14:paraId="209E93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44A8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5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A6431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迁移服务验收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E140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全量数据核验
增量数据核验
正式业务切割
迁移总结汇报
投产后观察1~2周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7F4E8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1.5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4167F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全量、增量核验；存在误差后的处理机制；业务切割风险高，需充分验证</w:t>
            </w:r>
          </w:p>
        </w:tc>
      </w:tr>
      <w:tr w14:paraId="00432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1B40A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6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0E1F54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文档交付</w:t>
            </w: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93EA0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迁移方案报告
数据核验报告
问题处理记录
操作手册</w:t>
            </w: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6E0DB2">
            <w:pPr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0.5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F7584B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项目交付物整理与归档</w:t>
            </w:r>
          </w:p>
        </w:tc>
      </w:tr>
      <w:tr w14:paraId="6E617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59958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合计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F68F62">
            <w:pPr>
              <w:jc w:val="center"/>
            </w:pPr>
          </w:p>
        </w:tc>
        <w:tc>
          <w:tcPr>
            <w:tcW w:w="3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1990D">
            <w:pPr>
              <w:jc w:val="center"/>
            </w:pPr>
          </w:p>
        </w:tc>
        <w:tc>
          <w:tcPr>
            <w:tcW w:w="1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FA9A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6.5</w:t>
            </w:r>
          </w:p>
        </w:tc>
        <w:tc>
          <w:tcPr>
            <w:tcW w:w="27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FF2C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F4E35C">
            <w:pPr>
              <w:jc w:val="left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含20%风险缓冲，实际执行建议预留7~7.5人月</w:t>
            </w:r>
          </w:p>
        </w:tc>
      </w:tr>
    </w:tbl>
    <w:p w14:paraId="3CE5F4E6">
      <w:pPr>
        <w:spacing w:before="240"/>
      </w:pPr>
    </w:p>
    <w:p w14:paraId="2A99C48A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三、问题表处理说明</w:t>
      </w:r>
    </w:p>
    <w:p w14:paraId="6D600480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以下12张表无法通过标准工具直接迁移，需定制处理方案：</w:t>
      </w:r>
    </w:p>
    <w:p w14:paraId="6115009D">
      <w:pPr>
        <w:spacing w:after="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1. TBAADM Schema（3张表）：复合索引导致唯一键冲突</w:t>
      </w:r>
    </w:p>
    <w:p w14:paraId="7278B46C">
      <w:pPr>
        <w:spacing w:after="60"/>
        <w:ind w:left="360"/>
      </w:pPr>
      <w:r>
        <w:rPr>
          <w:rFonts w:ascii="微软雅黑" w:hAnsi="微软雅黑" w:eastAsia="微软雅黑" w:cs="微软雅黑"/>
          <w:sz w:val="21"/>
          <w:szCs w:val="21"/>
        </w:rPr>
        <w:t>• coltrl_gurnt_dtl_table</w:t>
      </w:r>
    </w:p>
    <w:p w14:paraId="1A0D03B5">
      <w:pPr>
        <w:spacing w:after="60"/>
        <w:ind w:left="360"/>
      </w:pPr>
      <w:r>
        <w:rPr>
          <w:rFonts w:ascii="微软雅黑" w:hAnsi="微软雅黑" w:eastAsia="微软雅黑" w:cs="微软雅黑"/>
          <w:sz w:val="21"/>
          <w:szCs w:val="21"/>
        </w:rPr>
        <w:t>• coltrl_iprop_dt_table</w:t>
      </w:r>
    </w:p>
    <w:p w14:paraId="07122BF7">
      <w:pPr>
        <w:spacing w:after="80"/>
        <w:ind w:left="360"/>
      </w:pPr>
      <w:r>
        <w:rPr>
          <w:rFonts w:ascii="微软雅黑" w:hAnsi="微软雅黑" w:eastAsia="微软雅黑" w:cs="微软雅黑"/>
          <w:sz w:val="21"/>
          <w:szCs w:val="21"/>
        </w:rPr>
        <w:t>• coltrl_mch_dt_table</w:t>
      </w:r>
    </w:p>
    <w:p w14:paraId="2DBC8206">
      <w:pPr>
        <w:spacing w:after="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2. FINFADM Schema（4张表）：Default值/NOT NULL约束冲突</w:t>
      </w:r>
    </w:p>
    <w:p w14:paraId="5356F956">
      <w:pPr>
        <w:spacing w:after="60"/>
        <w:ind w:left="360"/>
      </w:pPr>
      <w:r>
        <w:rPr>
          <w:rFonts w:ascii="微软雅黑" w:hAnsi="微软雅黑" w:eastAsia="微软雅黑" w:cs="微软雅黑"/>
          <w:sz w:val="21"/>
          <w:szCs w:val="21"/>
        </w:rPr>
        <w:t>• ACCESSCONTROL（Default value, not null constraint）</w:t>
      </w:r>
    </w:p>
    <w:p w14:paraId="0C39FBA0">
      <w:pPr>
        <w:spacing w:after="60"/>
        <w:ind w:left="360"/>
      </w:pPr>
      <w:r>
        <w:rPr>
          <w:rFonts w:ascii="微软雅黑" w:hAnsi="微软雅黑" w:eastAsia="微软雅黑" w:cs="微软雅黑"/>
          <w:sz w:val="21"/>
          <w:szCs w:val="21"/>
        </w:rPr>
        <w:t>• NACCESSCONTROL（Default value, not null constraint）</w:t>
      </w:r>
    </w:p>
    <w:p w14:paraId="0F9A4CB3">
      <w:pPr>
        <w:spacing w:after="60"/>
        <w:ind w:left="360"/>
      </w:pPr>
      <w:r>
        <w:rPr>
          <w:rFonts w:ascii="微软雅黑" w:hAnsi="微软雅黑" w:eastAsia="微软雅黑" w:cs="微软雅黑"/>
          <w:sz w:val="21"/>
          <w:szCs w:val="21"/>
        </w:rPr>
        <w:t>• APPPARAMETER</w:t>
      </w:r>
    </w:p>
    <w:p w14:paraId="0C9BB494">
      <w:pPr>
        <w:spacing w:after="80"/>
        <w:ind w:left="360"/>
      </w:pPr>
      <w:r>
        <w:rPr>
          <w:rFonts w:ascii="微软雅黑" w:hAnsi="微软雅黑" w:eastAsia="微软雅黑" w:cs="微软雅黑"/>
          <w:sz w:val="21"/>
          <w:szCs w:val="21"/>
        </w:rPr>
        <w:t>• MENUITEMS</w:t>
      </w:r>
    </w:p>
    <w:p w14:paraId="54D33E7B">
      <w:pPr>
        <w:spacing w:after="60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3. CIF Schema（1张表）：一对多列映射</w:t>
      </w:r>
    </w:p>
    <w:p w14:paraId="6818EA01">
      <w:pPr>
        <w:spacing w:after="60"/>
        <w:ind w:left="360"/>
      </w:pPr>
      <w:r>
        <w:rPr>
          <w:rFonts w:ascii="微软雅黑" w:hAnsi="微软雅黑" w:eastAsia="微软雅黑" w:cs="微软雅黑"/>
          <w:sz w:val="21"/>
          <w:szCs w:val="21"/>
        </w:rPr>
        <w:t>• relationshipmanagerInfo（源表：ACCOUNTS / CORPORATE / CONTACTS / SUSPECTS）</w:t>
      </w:r>
    </w:p>
    <w:p w14:paraId="003B97E7">
      <w:pPr>
        <w:spacing w:before="240"/>
      </w:pPr>
    </w:p>
    <w:p w14:paraId="51AF174A">
      <w:pPr>
        <w:pStyle w:val="3"/>
      </w:pPr>
      <w:r>
        <w:rPr>
          <w:rFonts w:ascii="微软雅黑" w:hAnsi="微软雅黑" w:eastAsia="微软雅黑" w:cs="微软雅黑"/>
          <w:b/>
          <w:bCs/>
          <w:sz w:val="28"/>
          <w:szCs w:val="28"/>
        </w:rPr>
        <w:t>四、风险说明</w:t>
      </w:r>
    </w:p>
    <w:p w14:paraId="3C17F626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1. PG表数量是Oracle的1.86倍，表拆分/映射规则的维护工作量较大</w:t>
      </w:r>
    </w:p>
    <w:p w14:paraId="67C97B50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2. TBAADM占总量77%（996张表），是核心Schema，任何问题都影响全局</w:t>
      </w:r>
    </w:p>
    <w:p w14:paraId="4935AEA7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3. 12张问题表的处理方案需在本期明确，避免遗留</w:t>
      </w:r>
    </w:p>
    <w:p w14:paraId="6E085500">
      <w:pPr>
        <w:spacing w:after="80"/>
      </w:pPr>
      <w:r>
        <w:rPr>
          <w:rFonts w:ascii="微软雅黑" w:hAnsi="微软雅黑" w:eastAsia="微软雅黑" w:cs="微软雅黑"/>
          <w:sz w:val="22"/>
          <w:szCs w:val="22"/>
        </w:rPr>
        <w:t>4. 应用层SQL适配（如ROWNUM、CONNECT BY、NVL等Oracle特有语法）不在本次范围内，若需改造需另立项</w:t>
      </w:r>
    </w:p>
    <w:p w14:paraId="262ED015">
      <w:pPr>
        <w:spacing w:after="80"/>
      </w:pPr>
      <w:r>
        <w:rPr>
          <w:rFonts w:ascii="微软雅黑" w:hAnsi="微软雅黑" w:eastAsia="微软雅黑" w:cs="微软雅黑"/>
          <w:color w:val="CC0000"/>
          <w:sz w:val="22"/>
          <w:szCs w:val="22"/>
        </w:rPr>
        <w:t>5. 建议在实际执行中预留7~7.5人月，以应对不可预见问题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4C808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240"/>
      <w:jc w:val="center"/>
    </w:pPr>
    <w:rPr>
      <w:rFonts w:ascii="微软雅黑" w:hAnsi="微软雅黑" w:eastAsia="微软雅黑" w:cs="微软雅黑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180" w:after="120"/>
    </w:pPr>
    <w:rPr>
      <w:rFonts w:ascii="微软雅黑" w:hAnsi="微软雅黑" w:eastAsia="微软雅黑" w:cs="微软雅黑"/>
      <w:b/>
      <w:bCs/>
      <w:sz w:val="28"/>
      <w:szCs w:val="28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988</Words>
  <Characters>1467</Characters>
  <TotalTime>1</TotalTime>
  <ScaleCrop>false</ScaleCrop>
  <LinksUpToDate>false</LinksUpToDate>
  <CharactersWithSpaces>1509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2026-05-07T09:01:00Z</dcterms:created>
  <dc:creator>Un-named</dc:creator>
  <cp:lastModifiedBy>霍亮~上海</cp:lastModifiedBy>
  <dcterms:modified xsi:type="dcterms:W3CDTF">2026-05-08T02:28:00Z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eyJoZGlkIjoiMzEwNTM5NzYwMDRjMzkwZTVkZjY2ODkwMGIxNGU0OTUiLCJ1c2VySWQiOiI5ODU2NzMzMTEifQ==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A2C0DFEA549D4EA6B573A6CC53BB05CD_12</vt:lpwstr>
  </property>
</Properties>
</file>