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6379E">
      <w:pPr>
        <w:spacing w:before="3000"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48"/>
          <w:szCs w:val="48"/>
        </w:rPr>
        <w:t>DB2 → DWS 迁移解决方案</w:t>
      </w:r>
    </w:p>
    <w:p w14:paraId="22950F53">
      <w:pPr>
        <w:spacing w:before="200"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75B6"/>
          <w:sz w:val="28"/>
          <w:szCs w:val="28"/>
        </w:rPr>
        <w:t>证券基金资管行业专用</w:t>
      </w:r>
    </w:p>
    <w:p w14:paraId="630E8990">
      <w:pPr>
        <w:spacing w:before="100"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04040"/>
          <w:sz w:val="24"/>
          <w:szCs w:val="24"/>
        </w:rPr>
        <w:t>DDL转换细节与校验检查方案设计（展开版）</w:t>
      </w:r>
    </w:p>
    <w:p w14:paraId="0E6C8C96">
      <w:pPr>
        <w:spacing w:before="600"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</w:rPr>
        <w:t>编制单位：上海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掌数</w:t>
      </w:r>
      <w:r>
        <w:rPr>
          <w:rFonts w:hint="eastAsia" w:ascii="宋体" w:hAnsi="宋体" w:eastAsia="宋体" w:cs="宋体"/>
          <w:sz w:val="22"/>
          <w:szCs w:val="22"/>
        </w:rPr>
        <w:t>科技有限公司（DataKnown）</w:t>
      </w:r>
    </w:p>
    <w:p w14:paraId="4718B3D7">
      <w:pPr>
        <w:spacing w:before="80" w:line="360" w:lineRule="auto"/>
        <w:jc w:val="center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808080"/>
          <w:sz w:val="20"/>
          <w:szCs w:val="20"/>
        </w:rPr>
        <w:t>版本：V1.0（展开版） │ 2026-05-</w:t>
      </w:r>
      <w:r>
        <w:rPr>
          <w:rFonts w:hint="eastAsia" w:ascii="宋体" w:hAnsi="宋体" w:eastAsia="宋体" w:cs="宋体"/>
          <w:color w:val="808080"/>
          <w:sz w:val="20"/>
          <w:szCs w:val="20"/>
          <w:lang w:val="en-US" w:eastAsia="zh-CN"/>
        </w:rPr>
        <w:t>13</w:t>
      </w:r>
      <w:bookmarkStart w:id="0" w:name="_GoBack"/>
      <w:bookmarkEnd w:id="0"/>
    </w:p>
    <w:p w14:paraId="61EF4987">
      <w:pPr>
        <w:spacing w:before="80"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808080"/>
          <w:sz w:val="20"/>
          <w:szCs w:val="20"/>
        </w:rPr>
        <w:t>密级：内部机密</w:t>
      </w:r>
    </w:p>
    <w:p w14:paraId="6CAFEF4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2576AAD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一、项目背景与迁移概述</w:t>
      </w:r>
    </w:p>
    <w:p w14:paraId="47D3BF19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1.1 迁移背景与动机</w:t>
      </w:r>
    </w:p>
    <w:p w14:paraId="076B61B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在证券基金及资产管理行业，数据仓库承载着交易核算、估值定价、风险控制、监管报送等核心业务功能。传统上，大量金融机构采用 IBM DB2 LUW 作为数据仓库和数据集市的基础数据库，支撑着基金净值计算、TA份额登记、投资组合估值、交易流水分析等关键业务流程。</w:t>
      </w:r>
    </w:p>
    <w:p w14:paraId="38167CE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随着金融行业数字化转型的深入和数据量的爆炸式增长，DB2 作为传统商业数据库面临着日益突出的挑战：</w:t>
      </w:r>
    </w:p>
    <w:p w14:paraId="6D0826A9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扩展成本高昂：</w:t>
      </w:r>
      <w:r>
        <w:rPr>
          <w:rFonts w:hint="eastAsia" w:ascii="宋体" w:hAnsi="宋体" w:eastAsia="宋体" w:cs="宋体"/>
          <w:sz w:val="21"/>
          <w:szCs w:val="21"/>
        </w:rPr>
        <w:t>DB2 的 Scale-up 架构在数据量达到数十 TB 后，扩容成本急剧上升，企业级 License 费用居高不下</w:t>
      </w:r>
    </w:p>
    <w:p w14:paraId="0255BD8E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国产化与信创要求：</w:t>
      </w:r>
      <w:r>
        <w:rPr>
          <w:rFonts w:hint="eastAsia" w:ascii="宋体" w:hAnsi="宋体" w:eastAsia="宋体" w:cs="宋体"/>
          <w:sz w:val="21"/>
          <w:szCs w:val="21"/>
        </w:rPr>
        <w:t>金融监管机构对核心技术自主可控的要求日益严格，国产数据库替代成为行业趋势</w:t>
      </w:r>
    </w:p>
    <w:p w14:paraId="4EA198C5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MPP 架构优势：</w:t>
      </w:r>
      <w:r>
        <w:rPr>
          <w:rFonts w:hint="eastAsia" w:ascii="宋体" w:hAnsi="宋体" w:eastAsia="宋体" w:cs="宋体"/>
          <w:sz w:val="21"/>
          <w:szCs w:val="21"/>
        </w:rPr>
        <w:t>DWS（GaussDB Data Warehouse）采用 MPP 架构，支持横向扩展，在百 TB 级数据场景下性能优势明显</w:t>
      </w:r>
    </w:p>
    <w:p w14:paraId="33BCA38C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生态整合需求：</w:t>
      </w:r>
      <w:r>
        <w:rPr>
          <w:rFonts w:hint="eastAsia" w:ascii="宋体" w:hAnsi="宋体" w:eastAsia="宋体" w:cs="宋体"/>
          <w:sz w:val="21"/>
          <w:szCs w:val="21"/>
        </w:rPr>
        <w:t>华为云生态与大数据平台（MRS、DataArts）的深度集成，可实现数据湖仓一体</w:t>
      </w:r>
    </w:p>
    <w:p w14:paraId="4659A587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运维成本：</w:t>
      </w:r>
      <w:r>
        <w:rPr>
          <w:rFonts w:hint="eastAsia" w:ascii="宋体" w:hAnsi="宋体" w:eastAsia="宋体" w:cs="宋体"/>
          <w:sz w:val="21"/>
          <w:szCs w:val="21"/>
        </w:rPr>
        <w:t>商业数据库的 DBA 人力成本高，开源/国产数据库的运维工具链日益成熟</w:t>
      </w:r>
    </w:p>
    <w:p w14:paraId="7068B439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本方案专门针对证券基金资管行业的业务特点，提供从 IBM DB2 LUW 迁移至华为云 DWS（GaussDB Data Warehouse）的完整技术方案，包括 DDL 转换、SQL 适配、存储过程迁移、数据校验和业务验证等关键环节。</w:t>
      </w:r>
    </w:p>
    <w:p w14:paraId="45C50DB3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1.2 华为 DWS 简介</w:t>
      </w:r>
    </w:p>
    <w:p w14:paraId="5C28746F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华为云数据仓库 GaussDB(DWS) 是基于 openGauss 内核的企业级分布式数据仓库（MPP 架构），兼容 PostgreSQL 生态系统，支持 SQL 2003 标准。</w:t>
      </w:r>
    </w:p>
    <w:p w14:paraId="7670F0DF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MPP 分布式架构：支持最大 2048 节点集群，数据量可达 PB 级别</w:t>
      </w:r>
    </w:p>
    <w:p w14:paraId="24B31EA3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行列混合存储：按负载选择行存或列存，OLAP 场景列存压缩比可达 10:1</w:t>
      </w:r>
    </w:p>
    <w:p w14:paraId="63405406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云原生存算分离：计算与存储独立扩展，支持 OBS 对象存储冷热数据分层</w:t>
      </w:r>
    </w:p>
    <w:p w14:paraId="081F872A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全量 SQL 兼容：支持 SQL 2003、窗口函数、CTE、MERGE INTO 等高级特性</w:t>
      </w:r>
    </w:p>
    <w:p w14:paraId="371EDAB2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生态兼容：兼容 PostgreSQL JDBC/ODBC 接口，无缝对接主流 ETL 和 BI 工具</w:t>
      </w:r>
    </w:p>
    <w:p w14:paraId="2897072E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高可用：支持集群 HA、数据多副本、跨 AZ 容灾</w:t>
      </w:r>
    </w:p>
    <w:p w14:paraId="72926059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1.3 证券基金行业数据库特点</w:t>
      </w:r>
    </w:p>
    <w:p w14:paraId="4B2AD1AB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证券基金资管行业的数据库系统具有鲜明的行业特征，在迁移方案中必须充分考虑：</w:t>
      </w:r>
    </w:p>
    <w:p w14:paraId="1FEE1998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数据一致性要求极高：</w:t>
      </w:r>
      <w:r>
        <w:rPr>
          <w:rFonts w:hint="eastAsia" w:ascii="宋体" w:hAnsi="宋体" w:eastAsia="宋体" w:cs="宋体"/>
          <w:sz w:val="21"/>
          <w:szCs w:val="21"/>
        </w:rPr>
        <w:t>资产估值、份额登记、交易清算等场景要求数据绝对精确，DECIMAL 精度必须严格匹配</w:t>
      </w:r>
    </w:p>
    <w:p w14:paraId="30DD5B77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监管报送合规：</w:t>
      </w:r>
      <w:r>
        <w:rPr>
          <w:rFonts w:hint="eastAsia" w:ascii="宋体" w:hAnsi="宋体" w:eastAsia="宋体" w:cs="宋体"/>
          <w:sz w:val="21"/>
          <w:szCs w:val="21"/>
        </w:rPr>
        <w:t>证监会、银保监会、基金业协会等监管机构的报送数据必须准确无误，历史数据不可篡改</w:t>
      </w:r>
    </w:p>
    <w:p w14:paraId="356E6AE6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时间序列密集：</w:t>
      </w:r>
      <w:r>
        <w:rPr>
          <w:rFonts w:hint="eastAsia" w:ascii="宋体" w:hAnsi="宋体" w:eastAsia="宋体" w:cs="宋体"/>
          <w:sz w:val="21"/>
          <w:szCs w:val="21"/>
        </w:rPr>
        <w:t>交易流水、行情数据、估值数据都带有精确时间戳，分区策略按时间维度设计</w:t>
      </w:r>
    </w:p>
    <w:p w14:paraId="5E1193C4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复杂计算逻辑：</w:t>
      </w:r>
      <w:r>
        <w:rPr>
          <w:rFonts w:hint="eastAsia" w:ascii="宋体" w:hAnsi="宋体" w:eastAsia="宋体" w:cs="宋体"/>
          <w:sz w:val="21"/>
          <w:szCs w:val="21"/>
        </w:rPr>
        <w:t>基金净值计算、组合估值、风险指标计算包含大量复杂 SQL 和存储过程逻辑</w:t>
      </w:r>
    </w:p>
    <w:p w14:paraId="6785185B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数据量大且增长快：</w:t>
      </w:r>
      <w:r>
        <w:rPr>
          <w:rFonts w:hint="eastAsia" w:ascii="宋体" w:hAnsi="宋体" w:eastAsia="宋体" w:cs="宋体"/>
          <w:sz w:val="21"/>
          <w:szCs w:val="21"/>
        </w:rPr>
        <w:t>核心券商每日交易流水可达千万级，历史数据需保留 5-10 年</w:t>
      </w:r>
    </w:p>
    <w:p w14:paraId="6732F54E">
      <w:pPr>
        <w:pStyle w:val="16"/>
        <w:numPr>
          <w:ilvl w:val="0"/>
          <w:numId w:val="1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长事务与批量作业：</w:t>
      </w:r>
      <w:r>
        <w:rPr>
          <w:rFonts w:hint="eastAsia" w:ascii="宋体" w:hAnsi="宋体" w:eastAsia="宋体" w:cs="宋体"/>
          <w:sz w:val="21"/>
          <w:szCs w:val="21"/>
        </w:rPr>
        <w:t>日终批量处理、月末/年末结算等场景需要高效的大数据量处理能力</w:t>
      </w:r>
    </w:p>
    <w:p w14:paraId="48D60C77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9959424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二、DB2 与 DWS 核心差异分析</w:t>
      </w:r>
    </w:p>
    <w:p w14:paraId="05E2D5B3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2.1 架构差异：DB2 LUW vs DWS MPP</w:t>
      </w:r>
    </w:p>
    <w:p w14:paraId="6E757B8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LUW 采用传统的 Share-Everything 架构，而 DWS 采用 MPP (Massively Parallel Processing) Share-Nothing 架构，这从根本上影响着 SQL 优化策略和迁移方案。</w:t>
      </w:r>
    </w:p>
    <w:p w14:paraId="1E46D9F2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3B4F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A047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对比维度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AB3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DB2 LUW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0815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DWS (GaussDB)</w:t>
            </w:r>
          </w:p>
        </w:tc>
      </w:tr>
      <w:tr w14:paraId="74BA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C21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架构模式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409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Share-Everything（共享存储）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BBF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Share-Nothing（MPP 分布式）</w:t>
            </w:r>
          </w:p>
        </w:tc>
      </w:tr>
      <w:tr w14:paraId="26BF9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2727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扩展方式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B16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Scale-up（垂直扩展，成本高）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02E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Scale-out（水平扩展，成本线性）</w:t>
            </w:r>
          </w:p>
        </w:tc>
      </w:tr>
      <w:tr w14:paraId="6805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4CD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存储引擎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C35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B-tree/列存（BLU）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1E6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行存/列存（可选）</w:t>
            </w:r>
          </w:p>
        </w:tc>
      </w:tr>
      <w:tr w14:paraId="251A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F48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分布策略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5C1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无（单机或 PureScale）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F45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HASH / ROUND ROBIN / REPLICATION</w:t>
            </w:r>
          </w:p>
        </w:tc>
      </w:tr>
      <w:tr w14:paraId="7C18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0B6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分区方式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769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表分区（range/hash）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36A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分区表 + 分布键双层面</w:t>
            </w:r>
          </w:p>
        </w:tc>
      </w:tr>
      <w:tr w14:paraId="79E4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23B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最大容量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2EA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数十 TB（扩展成本高）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1EA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PB 级（线性扩展）</w:t>
            </w:r>
          </w:p>
        </w:tc>
      </w:tr>
      <w:tr w14:paraId="649B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5E1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高可用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AE2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HADR / PureScale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F02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集群 HA + 多副本 + AZ 容灾</w:t>
            </w:r>
          </w:p>
        </w:tc>
      </w:tr>
      <w:tr w14:paraId="077E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969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License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46E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商业许可，按 CPU 核心计费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5EA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开源内核 + 华为云服务</w:t>
            </w:r>
          </w:p>
        </w:tc>
      </w:tr>
    </w:tbl>
    <w:p w14:paraId="43481471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00F37245">
      <w:pPr>
        <w:shd w:val="clear" w:fill="E8F5E9"/>
        <w:spacing w:before="100" w:after="100" w:line="360" w:lineRule="auto"/>
        <w:ind w:left="2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7D32"/>
          <w:sz w:val="21"/>
          <w:szCs w:val="21"/>
        </w:rPr>
        <w:t xml:space="preserve">✓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关键结论：MPP 架构的核心在于“分布键”的概念——数据在多个节点间分布，查询时各节点并行计算。这使得 DB2 中一些固有的 SQL 写法（尤其是依赖单机排序和临时表的操作）需要在 DWS 中进行改造。</w:t>
      </w:r>
    </w:p>
    <w:p w14:paraId="5FA01736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2.2 数据类型对比与映射</w:t>
      </w:r>
    </w:p>
    <w:p w14:paraId="0E3F244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以下是 DB2 LUW 到 DWS 数据类型的完整映射对照表，这是 DDL 转换的基础：</w:t>
      </w:r>
    </w:p>
    <w:p w14:paraId="4E11E326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13"/>
        <w:gridCol w:w="4413"/>
      </w:tblGrid>
      <w:tr w14:paraId="4BFAC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B98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DB2 数据类型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F1E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DWS 映射类型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3F19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注意事项</w:t>
            </w:r>
          </w:p>
        </w:tc>
      </w:tr>
      <w:tr w14:paraId="47F8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F3C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SMALLINT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9D0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SMALLINT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573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直接映射，范围一致</w:t>
            </w:r>
          </w:p>
        </w:tc>
      </w:tr>
      <w:tr w14:paraId="04B8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738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INTEGER / INT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B0E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INTEGER / INT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937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直接映射</w:t>
            </w:r>
          </w:p>
        </w:tc>
      </w:tr>
      <w:tr w14:paraId="0DA5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AF8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BIGINT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5BD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BIGINT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607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直接映射</w:t>
            </w:r>
          </w:p>
        </w:tc>
      </w:tr>
      <w:tr w14:paraId="6631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75B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DECIMAL(p,s)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EEA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NUMERIC(p,s)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E8B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推荐使用 NUMERIC，精度完全兼容</w:t>
            </w:r>
          </w:p>
        </w:tc>
      </w:tr>
      <w:tr w14:paraId="5503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700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REAL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EC9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REAL / FLOAT4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6EB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直接映射（32位浮点）</w:t>
            </w:r>
          </w:p>
        </w:tc>
      </w:tr>
      <w:tr w14:paraId="5D56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7B3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DOUBLE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D47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DOUBLE PRECISION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989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直接映射（64位浮点）</w:t>
            </w:r>
          </w:p>
        </w:tc>
      </w:tr>
      <w:tr w14:paraId="6567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D6D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VARCHAR(n)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4E9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VARCHAR(n)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645A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DB2 的 n 为字符数，DWS 的 n 为字节数（UTF-8 下中文占3字节）</w:t>
            </w:r>
          </w:p>
        </w:tc>
      </w:tr>
      <w:tr w14:paraId="6904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C6F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CLOB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06C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TEXT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CBB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建议转换为 TEXT 类型</w:t>
            </w:r>
          </w:p>
        </w:tc>
      </w:tr>
      <w:tr w14:paraId="2DC3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888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BLOB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6DC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BYTEA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912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二进制数据转换为 BYTEA</w:t>
            </w:r>
          </w:p>
        </w:tc>
      </w:tr>
      <w:tr w14:paraId="4876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2B5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XML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7D3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TEXT / JSON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132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DWS XML 支持有限，建议存储为 TEXT 或 JSON</w:t>
            </w:r>
          </w:p>
        </w:tc>
      </w:tr>
      <w:tr w14:paraId="2EABC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4AD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TIMESTAMP(p)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2F4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TIMESTAMP(p)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D7D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直接映射，精度 p=0-6</w:t>
            </w:r>
          </w:p>
        </w:tc>
      </w:tr>
      <w:tr w14:paraId="30C0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03D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GRAPHIC/VARGRAPHIC</w:t>
            </w:r>
          </w:p>
        </w:tc>
        <w:tc>
          <w:tcPr>
            <w:tcW w:w="2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044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VARCHAR(n*3)</w:t>
            </w:r>
          </w:p>
        </w:tc>
        <w:tc>
          <w:tcPr>
            <w:tcW w:w="4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7D9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DB2 双字节类型，按 UTF-8 转换</w:t>
            </w:r>
          </w:p>
        </w:tc>
      </w:tr>
    </w:tbl>
    <w:p w14:paraId="4F33F1C7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68731FE6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2.2.1 VARCHAR 长度精确计算公式（高频关注）</w:t>
      </w:r>
    </w:p>
    <w:p w14:paraId="70DBCE9B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中 VARCHAR(n) 的 n 表示字符数，而 DWS/PostgreSQL 中 VARCHAR(n) 的 n 表示字节数。这是迁移中最容易出现的问题之一。</w:t>
      </w:r>
    </w:p>
    <w:p w14:paraId="7403EA0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转换公式： DWS VARCHAR 长度 = DB2 VARCHAR 字符数 × 每字符最大字节数</w:t>
      </w:r>
    </w:p>
    <w:p w14:paraId="2E1C56B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在 UTF-8 编码下：ASCII 字符占 1 字节，中文等非 ASCII 字符占 3 字节。安全做法：若列可能包含中文，统一按最大字节数 3 倍扩充分配。</w:t>
      </w:r>
    </w:p>
    <w:p w14:paraId="7667B545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6C4F0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EBE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32F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DB2 定义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4EA4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DWS 转换</w:t>
            </w:r>
          </w:p>
        </w:tc>
      </w:tr>
      <w:tr w14:paraId="05CAA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F3A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客户姓名（含中文）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2F0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VARCHAR(50)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87E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VARCHAR(150)  -- 50×3</w:t>
            </w:r>
          </w:p>
        </w:tc>
      </w:tr>
      <w:tr w14:paraId="7343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FB9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基金名称（含中文）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CE7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VARCHAR(200)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F2D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VARCHAR(600)  -- 200×3</w:t>
            </w:r>
          </w:p>
        </w:tc>
      </w:tr>
      <w:tr w14:paraId="43A3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D9C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证券代码（纯字母数字）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CA2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CHAR(6)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EF3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CHAR(6)  -- 直接映射</w:t>
            </w:r>
          </w:p>
        </w:tc>
      </w:tr>
      <w:tr w14:paraId="2855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3CA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证件号码（字母数字组合）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ADE0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VARCHAR(20)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202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VARCHAR(20)  -- 直接映射</w:t>
            </w:r>
          </w:p>
        </w:tc>
      </w:tr>
    </w:tbl>
    <w:p w14:paraId="31A35408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4EB0A3BA">
      <w:pPr>
        <w:shd w:val="clear" w:fill="FFF3CD"/>
        <w:spacing w:before="120" w:after="12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⚠ </w:t>
      </w:r>
      <w:r>
        <w:rPr>
          <w:rFonts w:hint="eastAsia" w:ascii="宋体" w:hAnsi="宋体" w:eastAsia="宋体" w:cs="宋体"/>
          <w:i/>
          <w:iCs/>
          <w:color w:val="856404"/>
          <w:sz w:val="21"/>
          <w:szCs w:val="21"/>
        </w:rPr>
        <w:t>建议在迁移前对所有 VARCHAR/CHAR 字段进行数据抽样分析，确认实际字符分布。对于历史存量数据中的宽字符（如中文、日文、韩文），VARCHAR 长度需按 3 倍扩充分配。</w:t>
      </w:r>
    </w:p>
    <w:p w14:paraId="4EFBC90E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FB12F57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三、DDL 转换细节</w:t>
      </w:r>
    </w:p>
    <w:p w14:paraId="689948EC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3.1 XML 类型处理</w:t>
      </w:r>
    </w:p>
    <w:p w14:paraId="01748A8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对 XML 类型有原生支持（pureXML），而 DWS 的 XML 支持有限。推荐转换方案：</w:t>
      </w:r>
    </w:p>
    <w:p w14:paraId="6E1976BC">
      <w:pPr>
        <w:pStyle w:val="16"/>
        <w:numPr>
          <w:ilvl w:val="0"/>
          <w:numId w:val="2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场景一：</w:t>
      </w:r>
      <w:r>
        <w:rPr>
          <w:rFonts w:hint="eastAsia" w:ascii="宋体" w:hAnsi="宋体" w:eastAsia="宋体" w:cs="宋体"/>
          <w:sz w:val="21"/>
          <w:szCs w:val="21"/>
        </w:rPr>
        <w:t>XML 仅存储，不做 XQuery 查询 → 转换为 TEXT 类型</w:t>
      </w:r>
    </w:p>
    <w:p w14:paraId="07576D87">
      <w:pPr>
        <w:pStyle w:val="16"/>
        <w:numPr>
          <w:ilvl w:val="0"/>
          <w:numId w:val="2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场景二：</w:t>
      </w:r>
      <w:r>
        <w:rPr>
          <w:rFonts w:hint="eastAsia" w:ascii="宋体" w:hAnsi="宋体" w:eastAsia="宋体" w:cs="宋体"/>
          <w:sz w:val="21"/>
          <w:szCs w:val="21"/>
        </w:rPr>
        <w:t>XML 需要结构化查询 → 转换为 JSON 类型（DWS 支持 JSON/JSONB）</w:t>
      </w:r>
    </w:p>
    <w:p w14:paraId="0116AB1E">
      <w:pPr>
        <w:pStyle w:val="16"/>
        <w:numPr>
          <w:ilvl w:val="0"/>
          <w:numId w:val="2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场景三：</w:t>
      </w:r>
      <w:r>
        <w:rPr>
          <w:rFonts w:hint="eastAsia" w:ascii="宋体" w:hAnsi="宋体" w:eastAsia="宋体" w:cs="宋体"/>
          <w:sz w:val="21"/>
          <w:szCs w:val="21"/>
        </w:rPr>
        <w:t>XML 需保留完整语义 → 存储为 TEXT，应用层解析</w:t>
      </w:r>
    </w:p>
    <w:p w14:paraId="516DE296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3.2 CLOB/BLOB 类型处理</w:t>
      </w:r>
    </w:p>
    <w:p w14:paraId="331A8E7E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的 CLOB/BLOB 类型在 DWS 中应转换为 TEXT/BYTEA。对于超大型对象（&gt;1GB），建议使用 OBS 对象存储。</w:t>
      </w:r>
    </w:p>
    <w:p w14:paraId="0C519180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CLOB:  announcement_content CLOB(1M)  --&gt;  announcement_content TEXT</w:t>
      </w:r>
    </w:p>
    <w:p w14:paraId="2EDE0C6F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BLOB:  contract_doc BLOB(500K)  --&gt;  contract_doc BYTEA</w:t>
      </w:r>
    </w:p>
    <w:p w14:paraId="5BCBD3E3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3.3 DB2 序列与标识列</w:t>
      </w:r>
    </w:p>
    <w:p w14:paraId="0054B93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支持 GENERATED AS IDENTITY 自增列，DWS 不支持此语法，需转换为 SEQUENCE：</w:t>
      </w:r>
    </w:p>
    <w:p w14:paraId="6A04BCFF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DB2:  order_id BIGINT GENERATED ALWAYS AS IDENTITY (START WITH 1 INCREMENT BY 1)</w:t>
      </w:r>
    </w:p>
    <w:p w14:paraId="22A228C2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DWS:  CREATE SEQUENCE seq_trade_order START WITH 1 INCREMENT BY 1 CACHE 100;</w:t>
      </w:r>
    </w:p>
    <w:p w14:paraId="1A2AFAA0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      order_id BIGINT DEFAULT nextval('seq_trade_order')</w:t>
      </w:r>
    </w:p>
    <w:p w14:paraId="4380A23E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迁移后设置起始值：SELECT setval('seq_trade_order', (SELECT MAX(order_id) FROM trade_order));</w:t>
      </w:r>
    </w:p>
    <w:p w14:paraId="06D85450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3.4 分区表转换</w:t>
      </w:r>
    </w:p>
    <w:p w14:paraId="3249C0E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和 DWS 都支持范围分区，但语法和语义有差异。DWS 支持更灵活的分区策略，并强烈建议配合分布键和列存策略使用。</w:t>
      </w:r>
    </w:p>
    <w:p w14:paraId="60D28EE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DB2 分区表：</w:t>
      </w:r>
    </w:p>
    <w:p w14:paraId="42F9D675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CREATE TABLE daily_trades (...) PARTITION BY RANGE (trade_date)</w:t>
      </w:r>
    </w:p>
    <w:p w14:paraId="013D766F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(PARTITION p2024 STARTING FROM '2024-01-01' ENDING AT '2024-12-31', ...)</w:t>
      </w:r>
    </w:p>
    <w:p w14:paraId="24187235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DWS 转换后（推荐列存 + 分区 + 分布键）：</w:t>
      </w:r>
    </w:p>
    <w:p w14:paraId="5CFC92CD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CREATE TABLE daily_trades (...)</w:t>
      </w:r>
    </w:p>
    <w:p w14:paraId="65F5AC97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WITH (ORIENTATION = COLUMN, COMPRESSION = MIDDLE)</w:t>
      </w:r>
    </w:p>
    <w:p w14:paraId="4B7947C1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PARTITION BY RANGE (trade_date)</w:t>
      </w:r>
    </w:p>
    <w:p w14:paraId="7EA7FFCA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(PARTITION p2024 START ('2024-01-01') END ('2025-01-01'), ...)</w:t>
      </w:r>
    </w:p>
    <w:p w14:paraId="624F5B1B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DISTRIBUTE BY HASH (account_no) INTO 6 NODES;</w:t>
      </w:r>
    </w:p>
    <w:p w14:paraId="79C51B5B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507CEEEF">
      <w:pPr>
        <w:shd w:val="clear" w:fill="E8F5E9"/>
        <w:spacing w:before="100" w:after="100" w:line="360" w:lineRule="auto"/>
        <w:ind w:left="2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7D32"/>
          <w:sz w:val="21"/>
          <w:szCs w:val="21"/>
        </w:rPr>
        <w:t xml:space="preserve">✓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列存（COLUMN）建议：对于数据仓库中的事实表（交易流水、行情数据、估值数据），推荐使用列存以获取最佳压缩比和查询性能。对于维度表和频繁 UPDATE/DELETE 的表，应使用行存（ROW）。</w:t>
      </w:r>
    </w:p>
    <w:p w14:paraId="1B14ED5A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3.5 约束转换：ENUM 与 CHECK</w:t>
      </w:r>
    </w:p>
    <w:p w14:paraId="52BE50E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不支持 ENUM 类型，DWS 同样不支持。DB2 中的 CHECK 约束可直接映射到 DWS。对于业务枚举值，推荐使用 CHECK 约束或引用维度表。</w:t>
      </w:r>
    </w:p>
    <w:p w14:paraId="675FF2A4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DD5DBD3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四、SQL 语法转换与证券基金业务示例</w:t>
      </w:r>
    </w:p>
    <w:p w14:paraId="675068F3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4.1 通用 SQL 语法对照</w:t>
      </w:r>
    </w:p>
    <w:p w14:paraId="34E522FD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65E5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0B3F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5646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DB2 语法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7AD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DWS 语法</w:t>
            </w:r>
          </w:p>
        </w:tc>
      </w:tr>
      <w:tr w14:paraId="03A2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45E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字符串拼接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AF5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col1 || col2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3BC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col1 || col2 / CONCAT()</w:t>
            </w:r>
          </w:p>
        </w:tc>
      </w:tr>
      <w:tr w14:paraId="7653A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024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取前N条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860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FETCH FIRST 10 ROWS ONLY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0B5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FETCH FIRST / LIMIT 10</w:t>
            </w:r>
          </w:p>
        </w:tc>
      </w:tr>
      <w:tr w14:paraId="4A02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686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分页查询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904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OFFSET m ROWS FETCH NEXT n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65C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LIMIT n OFFSET m</w:t>
            </w:r>
          </w:p>
        </w:tc>
      </w:tr>
      <w:tr w14:paraId="537B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1EA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当前日期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385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CURRENT DATE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C1F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CURRENT_DATE</w:t>
            </w:r>
          </w:p>
        </w:tc>
      </w:tr>
      <w:tr w14:paraId="7077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8D4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日期运算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965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col + N DAYS / col - N MONTHS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A64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col + INTERVAL 'N days'</w:t>
            </w:r>
          </w:p>
        </w:tc>
      </w:tr>
      <w:tr w14:paraId="04B05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EB3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日期截断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0F0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TRUNC(timestamp)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C0C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DATE_TRUNC('day', ts)</w:t>
            </w:r>
          </w:p>
        </w:tc>
      </w:tr>
      <w:tr w14:paraId="66B5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EF1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MERGE UPSERT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F3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MERGE INTO ...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05E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INSERT...ON CONFLICT...DO UPDATE</w:t>
            </w:r>
          </w:p>
        </w:tc>
      </w:tr>
      <w:tr w14:paraId="3874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129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递归 CTE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621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WITH ...(column_list) AS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7A8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WITH RECURSIVE ... AS</w:t>
            </w:r>
          </w:p>
        </w:tc>
      </w:tr>
      <w:tr w14:paraId="30AB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AD3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LISTAGG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9F7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LISTAGG(...)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CE8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STRING_AGG(...)</w:t>
            </w:r>
          </w:p>
        </w:tc>
      </w:tr>
    </w:tbl>
    <w:p w14:paraId="639560C0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638B8E2C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4.2 DB2 特有函数替代方案</w:t>
      </w:r>
    </w:p>
    <w:p w14:paraId="5BDF6ED9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13"/>
        <w:gridCol w:w="4513"/>
      </w:tblGrid>
      <w:tr w14:paraId="6D87F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FF6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DB2 函数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D21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DWS 替代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A92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2DB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698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VALUE()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52D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COALESCE()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A2A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DB2 的空值处理函数</w:t>
            </w:r>
          </w:p>
        </w:tc>
      </w:tr>
      <w:tr w14:paraId="295C8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4C4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DECODE()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183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CASE WHEN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104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多分支条件判断</w:t>
            </w:r>
          </w:p>
        </w:tc>
      </w:tr>
      <w:tr w14:paraId="06DE2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240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MONTHS_BETWEEN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1C5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EXTRACT(YEAR)*12 + EXTRACT(MONTH)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07D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计算月份差</w:t>
            </w:r>
          </w:p>
        </w:tc>
      </w:tr>
      <w:tr w14:paraId="5D09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6DF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LAST_DAY()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C78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DATE_TRUNC('month',d) + INTERVAL '1 month' - 1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66D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月末最后一天</w:t>
            </w:r>
          </w:p>
        </w:tc>
      </w:tr>
      <w:tr w14:paraId="4260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A4E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VARCHAR_FORMAT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8BA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TO_CHAR()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868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日期格式化</w:t>
            </w:r>
          </w:p>
        </w:tc>
      </w:tr>
      <w:tr w14:paraId="006C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948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RAISE_ERROR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5DC6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RAISE EXCEPTION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BE7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异常抛出机制不同</w:t>
            </w:r>
          </w:p>
        </w:tc>
      </w:tr>
      <w:tr w14:paraId="6025D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22B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HEX()</w:t>
            </w:r>
          </w:p>
        </w:tc>
        <w:tc>
          <w:tcPr>
            <w:tcW w:w="2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EE8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ENCODE(...,'hex')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7AB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十六进制编码转换</w:t>
            </w:r>
          </w:p>
        </w:tc>
      </w:tr>
    </w:tbl>
    <w:p w14:paraId="13D0EE6C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3F9FABEE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4.3 证券基金业务 SQL 转换示例</w:t>
      </w:r>
    </w:p>
    <w:p w14:paraId="308382C1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4.3.1 基金净值计算查询</w:t>
      </w:r>
    </w:p>
    <w:p w14:paraId="3926C3F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DB2 原始查询：获取指定日期基金净值排名</w:t>
      </w:r>
    </w:p>
    <w:p w14:paraId="6093FB06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SELECT fund_code, fund_name, nav, acc_nav,</w:t>
      </w:r>
    </w:p>
    <w:p w14:paraId="00AA4772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RANK() OVER (ORDER BY nav DESC) AS rank_no</w:t>
      </w:r>
    </w:p>
    <w:p w14:paraId="346C1134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FROM fund_nav WHERE nav_date = CURRENT DATE</w:t>
      </w:r>
    </w:p>
    <w:p w14:paraId="3AD4733D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AND fund_type IN ('EQ','HY','BD')</w:t>
      </w:r>
    </w:p>
    <w:p w14:paraId="3417BB8C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ORDER BY nav DESC FETCH FIRST 50 ROWS ONLY;</w:t>
      </w:r>
    </w:p>
    <w:p w14:paraId="7158D71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DWS 转换后：</w:t>
      </w:r>
    </w:p>
    <w:p w14:paraId="36D6D275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关键变化：CURRENT DATE → CURRENT_DATE，其余语法兼容</w:t>
      </w:r>
    </w:p>
    <w:p w14:paraId="57F124DF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SELECT fund_code, fund_name, nav, acc_nav,</w:t>
      </w:r>
    </w:p>
    <w:p w14:paraId="54CF9C2A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RANK() OVER (ORDER BY nav DESC) AS rank_no</w:t>
      </w:r>
    </w:p>
    <w:p w14:paraId="6A719781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FROM fund_nav WHERE nav_date = CURRENT_DATE</w:t>
      </w:r>
    </w:p>
    <w:p w14:paraId="2A2F01CD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AND fund_type IN ('EQ','HY','BD')</w:t>
      </w:r>
    </w:p>
    <w:p w14:paraId="084F46EA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ORDER BY nav DESC FETCH FIRST 50 ROWS ONLY;</w:t>
      </w:r>
    </w:p>
    <w:p w14:paraId="03C6A1CD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4.3.2 持仓汇总查询（窗口函数）</w:t>
      </w:r>
    </w:p>
    <w:p w14:paraId="3BDB2955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DB2 原始查询：客户持仓市值汇总</w:t>
      </w:r>
    </w:p>
    <w:p w14:paraId="47401179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... WHERE biz_date = CURRENT DATE - 1 DAY ...</w:t>
      </w:r>
    </w:p>
    <w:p w14:paraId="4D4D45D7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DWS 转换后：</w:t>
      </w:r>
    </w:p>
    <w:p w14:paraId="78B435AF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关键变化：日期运算语法不同</w:t>
      </w:r>
    </w:p>
    <w:p w14:paraId="0B69666A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DB2: CURRENT DATE - 1 DAY  --&gt;  DWS: CURRENT_DATE - INTERVAL '1 day'</w:t>
      </w:r>
    </w:p>
    <w:p w14:paraId="33B10343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... WHERE biz_date = CURRENT_DATE - INTERVAL '1 day' ...</w:t>
      </w:r>
    </w:p>
    <w:p w14:paraId="6A3B48A3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4.3.3 TA 份额登记查询</w:t>
      </w:r>
    </w:p>
    <w:p w14:paraId="4AF70BF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TA 份额登记查询的 SQL 语法在 DB2 和 DWS 之间基本兼容，只需将 CURRENT DATE 改为 CURRENT_DATE 即可。CASE WHEN、SUM、COUNT DISTINCT 等聚合函数均直接兼容。</w:t>
      </w:r>
    </w:p>
    <w:p w14:paraId="15D3AB64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FFBDE09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五、存储过程与函数转换</w:t>
      </w:r>
    </w:p>
    <w:p w14:paraId="118E46FE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5.1 SQL PL vs PL/pgSQL 语法对照</w:t>
      </w:r>
    </w:p>
    <w:p w14:paraId="5B07D63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DB2 使用 SQL PL（SQL Procedural Language），DWS 使用 PL/pgSQL（PostgreSQL 过程语言）。两者都基于 SQL/PSM 标准，但在语法细节上有显著差异。</w:t>
      </w:r>
    </w:p>
    <w:p w14:paraId="2F4CB889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13"/>
        <w:gridCol w:w="3613"/>
      </w:tblGrid>
      <w:tr w14:paraId="36F5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0BED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7523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DB2 (SQL PL)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158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DWS (PL/pgSQL)</w:t>
            </w:r>
          </w:p>
        </w:tc>
      </w:tr>
      <w:tr w14:paraId="181A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FBA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变量声明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F4B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DECLARE v TYPE DEFAULT val;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618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 TYPE := val;</w:t>
            </w:r>
          </w:p>
        </w:tc>
      </w:tr>
      <w:tr w14:paraId="38FD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4A0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变量赋值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6FD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SET v = value;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8F8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v := value;</w:t>
            </w:r>
          </w:p>
        </w:tc>
      </w:tr>
      <w:tr w14:paraId="4BF0F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DA7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IF 语句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C31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IF...THEN...ELSEIF...END IF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875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IF...THEN...ELSIF...END IF</w:t>
            </w:r>
          </w:p>
        </w:tc>
      </w:tr>
      <w:tr w14:paraId="5581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F9B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FOR 循环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03A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FOR v AS cur CURSOR FOR sql DO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693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FOR v IN sql LOOP ... END LOOP</w:t>
            </w:r>
          </w:p>
        </w:tc>
      </w:tr>
      <w:tr w14:paraId="7576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30A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WHILE 循环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64F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WHILE cond DO ... END WHILE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032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WHILE cond LOOP ... END LOOP</w:t>
            </w:r>
          </w:p>
        </w:tc>
      </w:tr>
      <w:tr w14:paraId="1BB5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518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异常处理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C63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DECLARE CONTINUE/EXIT HANDLER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26A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BEGIN ... EXCEPTION WHEN ...</w:t>
            </w:r>
          </w:p>
        </w:tc>
      </w:tr>
      <w:tr w14:paraId="3B0C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FC1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动态 SQL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D52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EXECUTE IMMEDIATE sql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291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EXECUTE IMMEDIATE sql</w:t>
            </w:r>
          </w:p>
        </w:tc>
      </w:tr>
      <w:tr w14:paraId="7CC3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599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异常抛出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7D1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SIGNAL SQLSTATE '...'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C05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RAISE EXCEPTION '...'</w:t>
            </w:r>
          </w:p>
        </w:tc>
      </w:tr>
    </w:tbl>
    <w:p w14:paraId="4E5E379E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48EBCCC0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5.2 估值核算过程转换示例</w:t>
      </w:r>
    </w:p>
    <w:p w14:paraId="704333C2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DB2 原始：计算日终资产估值</w:t>
      </w:r>
    </w:p>
    <w:p w14:paraId="057FCF03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CREATE PROCEDURE calc_daily_valuation(IN p_biz_date DATE,</w:t>
      </w:r>
    </w:p>
    <w:p w14:paraId="02932987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IN p_portfolio_code VARCHAR(20), OUT p_total_nav DECIMAL(18,2))</w:t>
      </w:r>
    </w:p>
    <w:p w14:paraId="310A63D8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LANGUAGE SQL BEGIN</w:t>
      </w:r>
    </w:p>
    <w:p w14:paraId="474B5D50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DECLARE v_market_value DECIMAL(18,2) DEFAULT 0;</w:t>
      </w:r>
    </w:p>
    <w:p w14:paraId="526FBCB2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DECLARE v_accrual_income DECIMAL(18,2) DEFAULT 0;</w:t>
      </w:r>
    </w:p>
    <w:p w14:paraId="731E8660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... SET p_total_nav = v_market_value + v_accrual_income - v_fee;</w:t>
      </w:r>
    </w:p>
    <w:p w14:paraId="29B7E251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END</w:t>
      </w:r>
    </w:p>
    <w:p w14:paraId="10389D2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DWS 转换后：</w:t>
      </w:r>
    </w:p>
    <w:p w14:paraId="1AD676F3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CREATE OR REPLACE PROCEDURE calc_daily_valuation(</w:t>
      </w:r>
    </w:p>
    <w:p w14:paraId="494D961C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p_biz_date DATE, p_portfolio_code VARCHAR(20), OUT p_total_nav NUMERIC(18,2))</w:t>
      </w:r>
    </w:p>
    <w:p w14:paraId="11D16393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LANGUAGE plpgsql AS $$ DECLARE</w:t>
      </w:r>
    </w:p>
    <w:p w14:paraId="3C165FD5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v_market_value NUMERIC(18,2) := 0;</w:t>
      </w:r>
    </w:p>
    <w:p w14:paraId="6CC7902B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v_accrual_income NUMERIC(18,2) := 0;</w:t>
      </w:r>
    </w:p>
    <w:p w14:paraId="31569681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BEGIN ... p_total_nav := v_market_value + v_accrual_income - v_fee;</w:t>
      </w:r>
    </w:p>
    <w:p w14:paraId="78FC6B20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END; $$;</w:t>
      </w:r>
    </w:p>
    <w:p w14:paraId="164BD3ED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2C07A0D1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5.3 异常处理机制对比</w:t>
      </w:r>
    </w:p>
    <w:p w14:paraId="4AC01C2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DB2 异常处理：</w:t>
      </w:r>
    </w:p>
    <w:p w14:paraId="277750F2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DECLARE CONTINUE HANDLER FOR SQLEXCEPTION</w:t>
      </w:r>
    </w:p>
    <w:p w14:paraId="56853AE2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BEGIN ROLLBACK; INSERT INTO error_log ... END;</w:t>
      </w:r>
    </w:p>
    <w:p w14:paraId="11518472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DWS 异常处理：</w:t>
      </w:r>
    </w:p>
    <w:p w14:paraId="2998CC31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BEGIN ... -- 业务逻辑</w:t>
      </w:r>
    </w:p>
    <w:p w14:paraId="634FD382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EXCEPTION WHEN OTHERS THEN</w:t>
      </w:r>
    </w:p>
    <w:p w14:paraId="1219902C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ROLLBACK; INSERT INTO error_log ... END;</w:t>
      </w:r>
    </w:p>
    <w:p w14:paraId="087607E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B9BF649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六、数据迁移方案</w:t>
      </w:r>
    </w:p>
    <w:p w14:paraId="55C1C417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6.1 迁移策略总览</w:t>
      </w:r>
    </w:p>
    <w:p w14:paraId="0817526F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针对证券基金行业的数据量和业务连续性要求，推荐采用“全量+增量”的两阶段迁移策略：</w:t>
      </w:r>
    </w:p>
    <w:p w14:paraId="578F2F9A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213"/>
        <w:gridCol w:w="1600"/>
        <w:gridCol w:w="2613"/>
      </w:tblGrid>
      <w:tr w14:paraId="5730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729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9A7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8EB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时间窗口</w:t>
            </w:r>
          </w:p>
        </w:tc>
        <w:tc>
          <w:tcPr>
            <w:tcW w:w="2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A2CB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工具</w:t>
            </w:r>
          </w:p>
        </w:tc>
      </w:tr>
      <w:tr w14:paraId="7CA4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F68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全量迁移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13A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一次性迁移全部历史数据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612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周末窗口（2-3天）</w:t>
            </w:r>
          </w:p>
        </w:tc>
        <w:tc>
          <w:tcPr>
            <w:tcW w:w="2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E2A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DRS / GDS</w:t>
            </w:r>
          </w:p>
        </w:tc>
      </w:tr>
      <w:tr w14:paraId="4CD9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5FD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增量同步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C85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同步全量迁移后的增量数据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EA0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T+1 实时/准实时</w:t>
            </w:r>
          </w:p>
        </w:tc>
        <w:tc>
          <w:tcPr>
            <w:tcW w:w="2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C26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DRS</w:t>
            </w:r>
          </w:p>
        </w:tc>
      </w:tr>
      <w:tr w14:paraId="0FC7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37C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数据校验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516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全量+增量数据一致性校验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5FF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持续，穿插各阶段</w:t>
            </w:r>
          </w:p>
        </w:tc>
        <w:tc>
          <w:tcPr>
            <w:tcW w:w="2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7EE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自研校验工具</w:t>
            </w:r>
          </w:p>
        </w:tc>
      </w:tr>
      <w:tr w14:paraId="2947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2AE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业务验证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CAC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业务系统接入验证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24F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试运行期（1-2周）</w:t>
            </w:r>
          </w:p>
        </w:tc>
        <w:tc>
          <w:tcPr>
            <w:tcW w:w="2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439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业务系统</w:t>
            </w:r>
          </w:p>
        </w:tc>
      </w:tr>
      <w:tr w14:paraId="69068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387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正式割接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E15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切换生产流量到 DWS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04E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周末窗口（6-8小时）</w:t>
            </w:r>
          </w:p>
        </w:tc>
        <w:tc>
          <w:tcPr>
            <w:tcW w:w="2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E68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回滚预案</w:t>
            </w:r>
          </w:p>
        </w:tc>
      </w:tr>
    </w:tbl>
    <w:p w14:paraId="06FFD3C8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7E550AF0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6.2 DRS 迁移方案（推荐）</w:t>
      </w:r>
    </w:p>
    <w:p w14:paraId="24B4094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华为云 DRS（Data Replication Service）支持从 DB2 LUW 到 DWS 的在线迁移，支持结构迁移、全量迁移和增量同步。</w:t>
      </w:r>
    </w:p>
    <w:p w14:paraId="06083D21">
      <w:pPr>
        <w:pStyle w:val="16"/>
        <w:numPr>
          <w:ilvl w:val="0"/>
          <w:numId w:val="3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源端准备：DB2 开启归档日志，启用 CDC 能力</w:t>
      </w:r>
    </w:p>
    <w:p w14:paraId="3E391C88">
      <w:pPr>
        <w:pStyle w:val="16"/>
        <w:numPr>
          <w:ilvl w:val="0"/>
          <w:numId w:val="3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目标端准备：DWS 集群创建目标 Schema 和表结构</w:t>
      </w:r>
    </w:p>
    <w:p w14:paraId="293D382F">
      <w:pPr>
        <w:pStyle w:val="16"/>
        <w:numPr>
          <w:ilvl w:val="0"/>
          <w:numId w:val="3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结构迁移：使用 DRS 或 DSC 工具进行 DDL 自动转换</w:t>
      </w:r>
    </w:p>
    <w:p w14:paraId="641F5F05">
      <w:pPr>
        <w:pStyle w:val="16"/>
        <w:numPr>
          <w:ilvl w:val="0"/>
          <w:numId w:val="3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全量迁移：一次性迁移存量数据，DRS 自动进行数据类型映射</w:t>
      </w:r>
    </w:p>
    <w:p w14:paraId="3DBF19AE">
      <w:pPr>
        <w:pStyle w:val="16"/>
        <w:numPr>
          <w:ilvl w:val="0"/>
          <w:numId w:val="3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增量同步：实时捕获 DB2 归档日志中的变更，同步到 DWS</w:t>
      </w:r>
    </w:p>
    <w:p w14:paraId="6DF278ED">
      <w:pPr>
        <w:pStyle w:val="16"/>
        <w:numPr>
          <w:ilvl w:val="0"/>
          <w:numId w:val="3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数据校验：DRS 支持数据对比功能，自动校验行数和关键字段</w:t>
      </w:r>
    </w:p>
    <w:p w14:paraId="1E6468F3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6.3 GDS 批量导入方案（针对 TB 级存量数据）</w:t>
      </w:r>
    </w:p>
    <w:p w14:paraId="21FC4C5D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对于数百 GB 以上的数据量，推荐使用 GDS（General Data Service）并行导入方案：</w:t>
      </w:r>
    </w:p>
    <w:p w14:paraId="6F06281F">
      <w:pPr>
        <w:pStyle w:val="16"/>
        <w:numPr>
          <w:ilvl w:val="0"/>
          <w:numId w:val="4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Step 1：DB2 导出数据（CSV 格式）</w:t>
      </w:r>
    </w:p>
    <w:p w14:paraId="1F68CCB4">
      <w:pPr>
        <w:pStyle w:val="16"/>
        <w:numPr>
          <w:ilvl w:val="0"/>
          <w:numId w:val="4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Step 2：创建 DWS 外表（FOREIGN TABLE）关联 CSV 文件</w:t>
      </w:r>
    </w:p>
    <w:p w14:paraId="33ADA3E5">
      <w:pPr>
        <w:pStyle w:val="16"/>
        <w:numPr>
          <w:ilvl w:val="0"/>
          <w:numId w:val="4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Step 3：并行导入 INSERT INTO ... SELECT * FROM external_table</w:t>
      </w:r>
    </w:p>
    <w:p w14:paraId="26C1AB79">
      <w:pPr>
        <w:pStyle w:val="16"/>
        <w:numPr>
          <w:ilvl w:val="0"/>
          <w:numId w:val="4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Step 4：验证导入行数 SELECT COUNT(*)</w:t>
      </w:r>
    </w:p>
    <w:p w14:paraId="036C96D4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6.4 迁移注意事项（证券行业特有）</w:t>
      </w:r>
    </w:p>
    <w:p w14:paraId="4B00BAAA">
      <w:pPr>
        <w:pStyle w:val="16"/>
        <w:numPr>
          <w:ilvl w:val="0"/>
          <w:numId w:val="5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交易日历对齐：</w:t>
      </w:r>
      <w:r>
        <w:rPr>
          <w:rFonts w:hint="eastAsia" w:ascii="宋体" w:hAnsi="宋体" w:eastAsia="宋体" w:cs="宋体"/>
          <w:sz w:val="21"/>
          <w:szCs w:val="21"/>
        </w:rPr>
        <w:t>DB2 中可能存在自定义交易日历函数，需在 DWS 中重新实现</w:t>
      </w:r>
    </w:p>
    <w:p w14:paraId="01D8C892">
      <w:pPr>
        <w:pStyle w:val="16"/>
        <w:numPr>
          <w:ilvl w:val="0"/>
          <w:numId w:val="5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DECIMAL 精度校验：</w:t>
      </w:r>
      <w:r>
        <w:rPr>
          <w:rFonts w:hint="eastAsia" w:ascii="宋体" w:hAnsi="宋体" w:eastAsia="宋体" w:cs="宋体"/>
          <w:sz w:val="21"/>
          <w:szCs w:val="21"/>
        </w:rPr>
        <w:t>资产金额类字段必须确保精度完全一致，差异不可超过 0.01 元</w:t>
      </w:r>
    </w:p>
    <w:p w14:paraId="5635AB4C">
      <w:pPr>
        <w:pStyle w:val="16"/>
        <w:numPr>
          <w:ilvl w:val="0"/>
          <w:numId w:val="5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时间精度：</w:t>
      </w:r>
      <w:r>
        <w:rPr>
          <w:rFonts w:hint="eastAsia" w:ascii="宋体" w:hAnsi="宋体" w:eastAsia="宋体" w:cs="宋体"/>
          <w:sz w:val="21"/>
          <w:szCs w:val="21"/>
        </w:rPr>
        <w:t>DB2 支持 TIMESTAMP(12)，DWS 最高 TIMESTAMP(6)，微秒级精度应用需改造</w:t>
      </w:r>
    </w:p>
    <w:p w14:paraId="0D7D79A8">
      <w:pPr>
        <w:pStyle w:val="16"/>
        <w:numPr>
          <w:ilvl w:val="0"/>
          <w:numId w:val="5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字符集统一：</w:t>
      </w:r>
      <w:r>
        <w:rPr>
          <w:rFonts w:hint="eastAsia" w:ascii="宋体" w:hAnsi="宋体" w:eastAsia="宋体" w:cs="宋体"/>
          <w:sz w:val="21"/>
          <w:szCs w:val="21"/>
        </w:rPr>
        <w:t>DB2 可能使用 GBK/GB18030，DWS 统一使用 UTF-8，需在导入时做编码转换</w:t>
      </w:r>
    </w:p>
    <w:p w14:paraId="3AE879CD">
      <w:pPr>
        <w:pStyle w:val="16"/>
        <w:numPr>
          <w:ilvl w:val="0"/>
          <w:numId w:val="5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存储过程依赖分析：</w:t>
      </w:r>
      <w:r>
        <w:rPr>
          <w:rFonts w:hint="eastAsia" w:ascii="宋体" w:hAnsi="宋体" w:eastAsia="宋体" w:cs="宋体"/>
          <w:sz w:val="21"/>
          <w:szCs w:val="21"/>
        </w:rPr>
        <w:t>DB2 存储过程间可能存在复杂调用链，建议使用自动化工具分析依赖关系</w:t>
      </w:r>
    </w:p>
    <w:p w14:paraId="057FBFD2">
      <w:pPr>
        <w:pStyle w:val="16"/>
        <w:numPr>
          <w:ilvl w:val="0"/>
          <w:numId w:val="5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批量作业调度：</w:t>
      </w:r>
      <w:r>
        <w:rPr>
          <w:rFonts w:hint="eastAsia" w:ascii="宋体" w:hAnsi="宋体" w:eastAsia="宋体" w:cs="宋体"/>
          <w:sz w:val="21"/>
          <w:szCs w:val="21"/>
        </w:rPr>
        <w:t>DB2 中的批处理作业需适配 DWS 的性能特点，重新评估执行窗口</w:t>
      </w:r>
    </w:p>
    <w:p w14:paraId="2B5DC370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5E92E65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七、验证与校验方案</w:t>
      </w:r>
    </w:p>
    <w:p w14:paraId="62EA8F25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7.1 四级校验架构总览</w:t>
      </w:r>
    </w:p>
    <w:p w14:paraId="239BCC25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参考 MySQL → DWS 迁移方案的校验体系，结合证券基金行业业务特点，设计四级校验架构：</w:t>
      </w:r>
    </w:p>
    <w:p w14:paraId="42A94A3C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3413"/>
        <w:gridCol w:w="3013"/>
      </w:tblGrid>
      <w:tr w14:paraId="0AF8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37F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44E9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3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648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校验内容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C93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频率</w:t>
            </w:r>
          </w:p>
        </w:tc>
      </w:tr>
      <w:tr w14:paraId="2E2E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259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L1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7DF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结构校验</w:t>
            </w:r>
          </w:p>
        </w:tc>
        <w:tc>
          <w:tcPr>
            <w:tcW w:w="3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57A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表数量、字段数量、数据类型、约束、索引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956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全量迁移后执行</w:t>
            </w:r>
          </w:p>
        </w:tc>
      </w:tr>
      <w:tr w14:paraId="0986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761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L2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DA7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数据量校验</w:t>
            </w:r>
          </w:p>
        </w:tc>
        <w:tc>
          <w:tcPr>
            <w:tcW w:w="3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CBC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行数对比、空值率、主键唯一性、去重校验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4E0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全量+每次增量后</w:t>
            </w:r>
          </w:p>
        </w:tc>
      </w:tr>
      <w:tr w14:paraId="3122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F95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L3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54A6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数据内容校验</w:t>
            </w:r>
          </w:p>
        </w:tc>
        <w:tc>
          <w:tcPr>
            <w:tcW w:w="3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7FB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数值字段 SUM/AVG/MIN/MAX、MD5 抽样校验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C27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全量+定期增量后</w:t>
            </w:r>
          </w:p>
        </w:tc>
      </w:tr>
      <w:tr w14:paraId="7CBB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BFD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L4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C7E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业务逻辑校验</w:t>
            </w:r>
          </w:p>
        </w:tc>
        <w:tc>
          <w:tcPr>
            <w:tcW w:w="3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BF1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资产总值核对、净值一致性、持仓勾稽、T+1清算验证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D19F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业务验证阶段</w:t>
            </w:r>
          </w:p>
        </w:tc>
      </w:tr>
    </w:tbl>
    <w:p w14:paraId="331114FB">
      <w:pPr>
        <w:spacing w:before="60" w:after="60" w:line="360" w:lineRule="auto"/>
        <w:jc w:val="center"/>
        <w:rPr>
          <w:rFonts w:hint="eastAsia" w:ascii="宋体" w:hAnsi="宋体" w:eastAsia="宋体" w:cs="宋体"/>
        </w:rPr>
      </w:pPr>
    </w:p>
    <w:p w14:paraId="6E5D1256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7.2 L4 业务逻辑校验（证券基金特有）</w:t>
      </w:r>
    </w:p>
    <w:p w14:paraId="794A565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L4 校验从业务角度验证数据的正确性，是证券基金行业迁移验收的核心标准。主要包括：</w:t>
      </w:r>
    </w:p>
    <w:p w14:paraId="77C6F8C1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7.2.1 资产市值一致性校验</w:t>
      </w:r>
    </w:p>
    <w:p w14:paraId="00D3E5FC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-- 客户资产总值 = SUM(持仓数量 × 行情价格)</w:t>
      </w:r>
    </w:p>
    <w:p w14:paraId="6E1FDE3A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SELECT customer_id, SUM(hold_qty * last_price) AS calc_market_value</w:t>
      </w:r>
    </w:p>
    <w:p w14:paraId="41C049EB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FROM position_daily WHERE biz_date = CURRENT_DATE</w:t>
      </w:r>
    </w:p>
    <w:p w14:paraId="653E8E27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GROUP BY customer_id ORDER BY customer_id;</w:t>
      </w:r>
    </w:p>
    <w:p w14:paraId="3E9ADE0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-- 与资产系统报表交叉核对，差异阈值：行业标准为 0</w:t>
      </w:r>
    </w:p>
    <w:p w14:paraId="1E9EF6A9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7.2.2 TA 份额勾稽校验</w:t>
      </w:r>
    </w:p>
    <w:p w14:paraId="375BE3AD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份额平衡校验：前日份额 + 申购 - 赎回 - 分红 = 今日份额</w:t>
      </w:r>
    </w:p>
    <w:p w14:paraId="1A49DF0B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WITH prev AS (...), trans AS (...), curr AS (...)</w:t>
      </w:r>
    </w:p>
    <w:p w14:paraId="3B00E008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SELECT ..., p.shares + COALESCE(t.sub,0) - COALESCE(t.red,0)</w:t>
      </w:r>
    </w:p>
    <w:p w14:paraId="483DB321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- COALESCE(t.div,0) - c.shares AS diff</w:t>
      </w:r>
    </w:p>
    <w:p w14:paraId="51141933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HAVING diff &lt;&gt; 0;  -- 任何差异记录并分析根因</w:t>
      </w:r>
    </w:p>
    <w:p w14:paraId="6CD97B7B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7.2.3 交易流水 T+1 清算校验</w:t>
      </w:r>
    </w:p>
    <w:p w14:paraId="6323652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今日持仓 = 昨日持仓 + 今日买入 - 今日卖出</w:t>
      </w:r>
    </w:p>
    <w:p w14:paraId="24B4034F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WITH yesterday AS (...), trades_today AS (...)</w:t>
      </w:r>
    </w:p>
    <w:p w14:paraId="42F7990B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SELECT ..., y.hold_qty + COALESCE(t.buy_qty,0)</w:t>
      </w:r>
    </w:p>
    <w:p w14:paraId="0FD5413E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 xml:space="preserve">  - COALESCE(t.sell_qty,0) - p.hold_qty AS diff</w:t>
      </w:r>
    </w:p>
    <w:p w14:paraId="014799A4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HAVING diff &lt;&gt; 0;</w:t>
      </w:r>
    </w:p>
    <w:p w14:paraId="2458C9E0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3B5AB68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八、实施步骤</w:t>
      </w:r>
    </w:p>
    <w:p w14:paraId="57AF7117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8.1 实施总体计划</w:t>
      </w:r>
    </w:p>
    <w:p w14:paraId="4F37E345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建议总周期：6-10 周（根据数据量和迁移复杂度调整）</w:t>
      </w:r>
    </w:p>
    <w:p w14:paraId="61B958E0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200"/>
        <w:gridCol w:w="3813"/>
        <w:gridCol w:w="3013"/>
      </w:tblGrid>
      <w:tr w14:paraId="32A3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582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48E5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3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C25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关键活动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0699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</w:tr>
      <w:tr w14:paraId="0B25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C99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准备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A16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1-2周</w:t>
            </w:r>
          </w:p>
        </w:tc>
        <w:tc>
          <w:tcPr>
            <w:tcW w:w="3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A5E2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源端评估、DB2对象清单、DWS集群规划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89F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评估报告、迁移方案</w:t>
            </w:r>
          </w:p>
        </w:tc>
      </w:tr>
      <w:tr w14:paraId="11C78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C92C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结构迁移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B4D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1-2周</w:t>
            </w:r>
          </w:p>
        </w:tc>
        <w:tc>
          <w:tcPr>
            <w:tcW w:w="3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44D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DDL自动转换+人工审核、存储过程转换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CEFD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DDL脚本集、转换清单</w:t>
            </w:r>
          </w:p>
        </w:tc>
      </w:tr>
      <w:tr w14:paraId="352A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EBE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数据迁移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6839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1-2周</w:t>
            </w:r>
          </w:p>
        </w:tc>
        <w:tc>
          <w:tcPr>
            <w:tcW w:w="3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6BD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全量数据迁移（DRS/GDS）、L1结构校验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0CB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迁移数据、校验报告</w:t>
            </w:r>
          </w:p>
        </w:tc>
      </w:tr>
      <w:tr w14:paraId="6E06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4FF3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业务验证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E177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1-2周</w:t>
            </w:r>
          </w:p>
        </w:tc>
        <w:tc>
          <w:tcPr>
            <w:tcW w:w="3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1FEA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L2/L3自动校验、性能测试、UAT验收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98F5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UAT签收报告</w:t>
            </w:r>
          </w:p>
        </w:tc>
      </w:tr>
      <w:tr w14:paraId="569D0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A70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割接上线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A42E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2-3天</w:t>
            </w:r>
          </w:p>
        </w:tc>
        <w:tc>
          <w:tcPr>
            <w:tcW w:w="3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9DBB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生产割接、灰度切换、观察期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BE74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割接报告、观察日志</w:t>
            </w:r>
          </w:p>
        </w:tc>
      </w:tr>
      <w:tr w14:paraId="46E0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172F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运营优化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E0C1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持续</w:t>
            </w:r>
          </w:p>
        </w:tc>
        <w:tc>
          <w:tcPr>
            <w:tcW w:w="3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5E28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SQL性能优化、存储过程调优、运维体系建立</w:t>
            </w:r>
          </w:p>
        </w:tc>
        <w:tc>
          <w:tcPr>
            <w:tcW w:w="30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4300">
            <w:pPr>
              <w:spacing w:before="40" w:after="40"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运维手册、优化建议</w:t>
            </w:r>
          </w:p>
        </w:tc>
      </w:tr>
    </w:tbl>
    <w:p w14:paraId="2A68A134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1D63E254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8.2 割接上线 Checklist</w:t>
      </w:r>
    </w:p>
    <w:p w14:paraId="4114F4BB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正式割接建议安排在周末窗口，按以下步骤执行：</w:t>
      </w:r>
    </w:p>
    <w:p w14:paraId="3D3FAFBF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前置检查：确认 DRS 增量同步延迟 &lt; 5 秒，L1-L3 校验全部通过</w:t>
      </w:r>
    </w:p>
    <w:p w14:paraId="03BC3FC6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停写操作：通知业务系统暂停写入（T+0 交易系统切换前）</w:t>
      </w:r>
    </w:p>
    <w:p w14:paraId="71E8826D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最终增量同步：等待 DRS 追上最后增量，确认 DB2-DWS 数据一致</w:t>
      </w:r>
    </w:p>
    <w:p w14:paraId="77AA0E6C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L3 快速校验：关键表行数 + SUM 校验（控制在 15 分钟内）</w:t>
      </w:r>
    </w:p>
    <w:p w14:paraId="4977E7E4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L4 业务快速校验：资产总值核对 + 交易流水核对（30 分钟）</w:t>
      </w:r>
    </w:p>
    <w:p w14:paraId="5ABE7076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应用切换：修改连接串指向 DWS，重启应用</w:t>
      </w:r>
    </w:p>
    <w:p w14:paraId="409F0936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验证确认：业务团队执行冒烟测试，确认核心功能正常</w:t>
      </w:r>
    </w:p>
    <w:p w14:paraId="5EC65217">
      <w:pPr>
        <w:pStyle w:val="16"/>
        <w:numPr>
          <w:ilvl w:val="0"/>
          <w:numId w:val="6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回滚待命：割接后 48 小时内保持回滚能力</w:t>
      </w:r>
    </w:p>
    <w:p w14:paraId="3EDCCCE7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F8B68AF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九、风险识别与应对</w:t>
      </w:r>
    </w:p>
    <w:p w14:paraId="41752247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613"/>
        <w:gridCol w:w="800"/>
        <w:gridCol w:w="3213"/>
      </w:tblGrid>
      <w:tr w14:paraId="574C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63A2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风险类别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CA0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915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69D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14:paraId="71348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59E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数据不一致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6A720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数据类型映射导致精度损失或截断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87F3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6E6E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严格 L3 校验 + 逐字段抽样对比，差异容忍度设为 0</w:t>
            </w:r>
          </w:p>
        </w:tc>
      </w:tr>
      <w:tr w14:paraId="70AD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7B7D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存储过程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49B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SQL PL 语法复杂，自动转换不准确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ADF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6D7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P0/P1/P2 优先级分类，P0 必须完全兼容</w:t>
            </w:r>
          </w:p>
        </w:tc>
      </w:tr>
      <w:tr w14:paraId="5416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EFF0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性能回退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C22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DB2 优化查询因分布键不合理变慢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1C8A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7220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提前性能测试 + 分布键优化 + 执行计划分析</w:t>
            </w:r>
          </w:p>
        </w:tc>
      </w:tr>
      <w:tr w14:paraId="43C6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73D2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增量同步延迟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B2B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DB2 CDC 日志量大导致 DRS 延迟超阈值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49C2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A23B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监控告警 + 延迟&gt;30秒自动告警</w:t>
            </w:r>
          </w:p>
        </w:tc>
      </w:tr>
      <w:tr w14:paraId="2988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A881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应用兼容性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9C58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JDBC/ODBC 驱动差异导致 SQL 报错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E95C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59D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提前兼容性测试 + 应用 SQL 审查</w:t>
            </w:r>
          </w:p>
        </w:tc>
      </w:tr>
      <w:tr w14:paraId="53216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3FA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字符集问题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9FD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DB2 GBK 数据转 UTF-8 过程中乱码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A1A3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A943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导出前字符集确认 + 导入后抽样检查</w:t>
            </w:r>
          </w:p>
        </w:tc>
      </w:tr>
      <w:tr w14:paraId="79EB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4542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回滚困难</w:t>
            </w:r>
          </w:p>
        </w:tc>
        <w:tc>
          <w:tcPr>
            <w:tcW w:w="36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0E0C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长周期迁移后回滚成本过高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2B3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32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7952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全量迁移前完整备份 + DB2 保持在线可回切</w:t>
            </w:r>
          </w:p>
        </w:tc>
      </w:tr>
    </w:tbl>
    <w:p w14:paraId="6F8E763F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0BD6476E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9.1 回滚方案</w:t>
      </w:r>
    </w:p>
    <w:p w14:paraId="08E102A1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方案 A：DRS 反向同步（推荐）</w:t>
      </w:r>
    </w:p>
    <w:p w14:paraId="53FC9DE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DWS 支持通过 DRS 反向同步到 DB2。在割接后 48 小时观察期内发现问题，可快速回切。预计回滚时间：2-4 小时。</w:t>
      </w:r>
    </w:p>
    <w:p w14:paraId="068F5405">
      <w:pPr>
        <w:pStyle w:val="4"/>
        <w:spacing w:before="200"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04040"/>
          <w:sz w:val="24"/>
          <w:szCs w:val="24"/>
        </w:rPr>
        <w:t>方案 B：数据库备份恢复（极端情况）</w:t>
      </w:r>
    </w:p>
    <w:p w14:paraId="4549094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迁移前对 DB2 进行完整离线备份。回滚时直接恢复备份。预计回滚时间：TB 级可能需要 4-8 小时。</w:t>
      </w:r>
    </w:p>
    <w:p w14:paraId="04F9C90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538348C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十、性能优化指南</w:t>
      </w:r>
    </w:p>
    <w:p w14:paraId="6F5D0D3A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10.1 分布键选择原则</w:t>
      </w:r>
    </w:p>
    <w:p w14:paraId="0E33D87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分布键是 DWS 性能的核心，直接影响查询执行效率：</w:t>
      </w:r>
    </w:p>
    <w:p w14:paraId="16A3EA37">
      <w:pPr>
        <w:pStyle w:val="16"/>
        <w:numPr>
          <w:ilvl w:val="0"/>
          <w:numId w:val="7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唯一性优先：</w:t>
      </w:r>
      <w:r>
        <w:rPr>
          <w:rFonts w:hint="eastAsia" w:ascii="宋体" w:hAnsi="宋体" w:eastAsia="宋体" w:cs="宋体"/>
          <w:sz w:val="21"/>
          <w:szCs w:val="21"/>
        </w:rPr>
        <w:t>选择分布均匀的列（如客户号、账号），避免数据倾斜</w:t>
      </w:r>
    </w:p>
    <w:p w14:paraId="35412862">
      <w:pPr>
        <w:pStyle w:val="16"/>
        <w:numPr>
          <w:ilvl w:val="0"/>
          <w:numId w:val="7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JOIN 亲和性：</w:t>
      </w:r>
      <w:r>
        <w:rPr>
          <w:rFonts w:hint="eastAsia" w:ascii="宋体" w:hAnsi="宋体" w:eastAsia="宋体" w:cs="宋体"/>
          <w:sz w:val="21"/>
          <w:szCs w:val="21"/>
        </w:rPr>
        <w:t>高频关联的表使用相同的分布键，减少跨节点数据移动</w:t>
      </w:r>
    </w:p>
    <w:p w14:paraId="0C32E286">
      <w:pPr>
        <w:pStyle w:val="16"/>
        <w:numPr>
          <w:ilvl w:val="0"/>
          <w:numId w:val="7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GROUP BY 亲和性：</w:t>
      </w:r>
      <w:r>
        <w:rPr>
          <w:rFonts w:hint="eastAsia" w:ascii="宋体" w:hAnsi="宋体" w:eastAsia="宋体" w:cs="宋体"/>
          <w:sz w:val="21"/>
          <w:szCs w:val="21"/>
        </w:rPr>
        <w:t>GROUP BY 列与分布键一致可减少重分布开销</w:t>
      </w:r>
    </w:p>
    <w:p w14:paraId="6D8883E5">
      <w:pPr>
        <w:pStyle w:val="16"/>
        <w:numPr>
          <w:ilvl w:val="0"/>
          <w:numId w:val="7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业务优先：</w:t>
      </w:r>
      <w:r>
        <w:rPr>
          <w:rFonts w:hint="eastAsia" w:ascii="宋体" w:hAnsi="宋体" w:eastAsia="宋体" w:cs="宋体"/>
          <w:sz w:val="21"/>
          <w:szCs w:val="21"/>
        </w:rPr>
        <w:t>优先考虑最常用的 JOIN 和 GROUP BY 条件</w:t>
      </w:r>
    </w:p>
    <w:p w14:paraId="21F80B54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70316D7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证券行业推荐分布键策略：</w:t>
      </w:r>
    </w:p>
    <w:p w14:paraId="464EF262">
      <w:pPr>
        <w:pStyle w:val="16"/>
        <w:numPr>
          <w:ilvl w:val="0"/>
          <w:numId w:val="8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交易流水表：按账号分布 DISTRIBUTE BY HASH(account_no)</w:t>
      </w:r>
    </w:p>
    <w:p w14:paraId="739F9B05">
      <w:pPr>
        <w:pStyle w:val="16"/>
        <w:numPr>
          <w:ilvl w:val="0"/>
          <w:numId w:val="8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持仓快照表：按客户号分布 DISTRIBUTE BY HASH(customer_id)</w:t>
      </w:r>
    </w:p>
    <w:p w14:paraId="5C5EABE9">
      <w:pPr>
        <w:pStyle w:val="16"/>
        <w:numPr>
          <w:ilvl w:val="0"/>
          <w:numId w:val="8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客户维度表：按客户号分布（与事实表分布键对齐）</w:t>
      </w:r>
    </w:p>
    <w:p w14:paraId="1220A3DD">
      <w:pPr>
        <w:pStyle w:val="16"/>
        <w:numPr>
          <w:ilvl w:val="0"/>
          <w:numId w:val="8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产品/代码维度表：按代码分布 DISTRIBUTE BY HASH(stock_code)</w:t>
      </w:r>
    </w:p>
    <w:p w14:paraId="666F26E1">
      <w:pPr>
        <w:pStyle w:val="16"/>
        <w:numPr>
          <w:ilvl w:val="0"/>
          <w:numId w:val="8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小表（&lt; 10万行）：使用 REPLICATION 避免广播</w:t>
      </w:r>
    </w:p>
    <w:p w14:paraId="29DFB415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10.2 证券行业典型查询优化</w:t>
      </w:r>
    </w:p>
    <w:p w14:paraId="4C76E5B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日终批量处理优化要点：</w:t>
      </w:r>
    </w:p>
    <w:p w14:paraId="7BE10E82">
      <w:pPr>
        <w:pStyle w:val="16"/>
        <w:numPr>
          <w:ilvl w:val="0"/>
          <w:numId w:val="9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批量 INSERT 改用 COPY 模式，提升写入吞吐量 5-10 倍</w:t>
      </w:r>
    </w:p>
    <w:p w14:paraId="7F035EAF">
      <w:pPr>
        <w:pStyle w:val="16"/>
        <w:numPr>
          <w:ilvl w:val="0"/>
          <w:numId w:val="9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日终跑批任务启用 query_dop 并行度（8-16 核）</w:t>
      </w:r>
    </w:p>
    <w:p w14:paraId="526AC0AC">
      <w:pPr>
        <w:pStyle w:val="16"/>
        <w:numPr>
          <w:ilvl w:val="0"/>
          <w:numId w:val="9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避免分布式事务中的大事务，拆分为批量批次提交</w:t>
      </w:r>
    </w:p>
    <w:p w14:paraId="3626DD03">
      <w:pPr>
        <w:pStyle w:val="16"/>
        <w:numPr>
          <w:ilvl w:val="0"/>
          <w:numId w:val="9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减少 SELECT *，只查询需要的列（列存优势下尤其重要）</w:t>
      </w:r>
    </w:p>
    <w:p w14:paraId="2947916D">
      <w:pPr>
        <w:pStyle w:val="16"/>
        <w:numPr>
          <w:ilvl w:val="0"/>
          <w:numId w:val="9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定期（至少每月）ANALYZE 更新统计信息</w:t>
      </w:r>
    </w:p>
    <w:p w14:paraId="5633DD05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38D5D01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DWS 集群参数推荐（证券行业日终批量场景）：</w:t>
      </w:r>
    </w:p>
    <w:p w14:paraId="282BF20F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ALTER DATABASE target_db SET query_dop = 8;</w:t>
      </w:r>
    </w:p>
    <w:p w14:paraId="7147296E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ALTER DATABASE target_db SET statement_mem = '1GB';</w:t>
      </w:r>
    </w:p>
    <w:p w14:paraId="2E1A9E21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ALTER DATABASE target_db SET polar_cstore_mem = '8GB';</w:t>
      </w:r>
    </w:p>
    <w:p w14:paraId="6F7E455C">
      <w:pPr>
        <w:spacing w:before="80" w:after="80" w:line="360" w:lineRule="auto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E4057"/>
          <w:sz w:val="18"/>
          <w:szCs w:val="18"/>
        </w:rPr>
        <w:t>ALTER DATABASE target_db SET autovacuum = on;</w:t>
      </w:r>
    </w:p>
    <w:p w14:paraId="1FE6014D">
      <w:pPr>
        <w:pStyle w:val="3"/>
        <w:spacing w:before="280" w:after="1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10.3 冷热数据分离策略</w:t>
      </w:r>
    </w:p>
    <w:p w14:paraId="085DC73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DWS 支持 OBS 对象存储，可实现冷热数据分层。结合证券行业数据保留策略（交易流水 5-10 年），推荐冷热分层方案：</w:t>
      </w:r>
    </w:p>
    <w:p w14:paraId="38B0C6AF">
      <w:pPr>
        <w:pStyle w:val="16"/>
        <w:numPr>
          <w:ilvl w:val="0"/>
          <w:numId w:val="10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热数据（近 1 年）：</w:t>
      </w:r>
      <w:r>
        <w:rPr>
          <w:rFonts w:hint="eastAsia" w:ascii="宋体" w:hAnsi="宋体" w:eastAsia="宋体" w:cs="宋体"/>
          <w:sz w:val="21"/>
          <w:szCs w:val="21"/>
        </w:rPr>
        <w:t>存放在高性能本地盘，列存高压缩</w:t>
      </w:r>
    </w:p>
    <w:p w14:paraId="3470861C">
      <w:pPr>
        <w:pStyle w:val="16"/>
        <w:numPr>
          <w:ilvl w:val="0"/>
          <w:numId w:val="10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温数据（1-3 年）：</w:t>
      </w:r>
      <w:r>
        <w:rPr>
          <w:rFonts w:hint="eastAsia" w:ascii="宋体" w:hAnsi="宋体" w:eastAsia="宋体" w:cs="宋体"/>
          <w:sz w:val="21"/>
          <w:szCs w:val="21"/>
        </w:rPr>
        <w:t>存放在低成本的 EVS 云硬盘</w:t>
      </w:r>
    </w:p>
    <w:p w14:paraId="41DC978D">
      <w:pPr>
        <w:pStyle w:val="16"/>
        <w:numPr>
          <w:ilvl w:val="0"/>
          <w:numId w:val="10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冷数据（3 年以上）：</w:t>
      </w:r>
      <w:r>
        <w:rPr>
          <w:rFonts w:hint="eastAsia" w:ascii="宋体" w:hAnsi="宋体" w:eastAsia="宋体" w:cs="宋体"/>
          <w:sz w:val="21"/>
          <w:szCs w:val="21"/>
        </w:rPr>
        <w:t>存放在 OBS 对象存储，通过外表访问</w:t>
      </w:r>
    </w:p>
    <w:p w14:paraId="4C40EB16">
      <w:pPr>
        <w:pStyle w:val="16"/>
        <w:numPr>
          <w:ilvl w:val="0"/>
          <w:numId w:val="10"/>
        </w:num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分区管理：</w:t>
      </w:r>
      <w:r>
        <w:rPr>
          <w:rFonts w:hint="eastAsia" w:ascii="宋体" w:hAnsi="宋体" w:eastAsia="宋体" w:cs="宋体"/>
          <w:sz w:val="21"/>
          <w:szCs w:val="21"/>
        </w:rPr>
        <w:t>按时间自动淘汰，旧分区移至外部 OBS 表</w:t>
      </w:r>
    </w:p>
    <w:p w14:paraId="4C9AEF5E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822EFD3">
      <w:pPr>
        <w:pStyle w:val="2"/>
        <w:spacing w:before="360" w:after="20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附录：DLL 转换检查清单</w:t>
      </w:r>
    </w:p>
    <w:p w14:paraId="53E983A9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以下清单用于逐项确认 DDL 转换完整性，每项需由实施人员和复核人员共同签字：</w:t>
      </w:r>
    </w:p>
    <w:p w14:paraId="06EDDC2C">
      <w:pPr>
        <w:spacing w:before="60" w:after="60" w:line="360" w:lineRule="auto"/>
        <w:rPr>
          <w:rFonts w:hint="eastAsia" w:ascii="宋体" w:hAnsi="宋体" w:eastAsia="宋体" w:cs="宋体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13"/>
        <w:gridCol w:w="1800"/>
        <w:gridCol w:w="1813"/>
      </w:tblGrid>
      <w:tr w14:paraId="58DE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1F11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5BF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D9B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2C22F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AA37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表结构完整性：所有表已迁移，数量一致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A469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42A3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33D8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4168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字段类型映射正确性（重点：VARCHAR、DECIMAL）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AB5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1FE5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4764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027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CLOB/BLOB 转 TEXT/BYTEA 处理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231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938D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1C6D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BBDB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XML 类型转换方案确认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2977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BBE8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4D0C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F3F8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序列（SEQUENCE）创建与起始值设置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5480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48C1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3A460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01D1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主键/外键约束迁移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1BA7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9A0C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6122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C330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CHECK 约束和业务枚举值处理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80DD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ED91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0045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729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唯一索引和普通索引迁移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BFD1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B046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195B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C77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分区表定义（分区键、分区范围）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BBE9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E10A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06C4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C4B3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分布键选择（HASH / REPLICATION）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53EB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F874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0982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E530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行存/列存选择策略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0072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DE2B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6C66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D94E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COMMENT 注释迁移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D8E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8E0F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597E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875C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权限和同义词迁移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0803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□</w:t>
            </w:r>
          </w:p>
        </w:tc>
        <w:tc>
          <w:tcPr>
            <w:tcW w:w="18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8575">
            <w:pPr>
              <w:spacing w:before="40" w:after="40" w:line="36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3EACB6A5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329F5F95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实施人签字：________          复核人签字：________          日期：________</w:t>
      </w:r>
    </w:p>
    <w:p w14:paraId="594B071E">
      <w:pPr>
        <w:spacing w:before="60" w:after="60" w:line="360" w:lineRule="auto"/>
        <w:rPr>
          <w:rFonts w:hint="eastAsia" w:ascii="宋体" w:hAnsi="宋体" w:eastAsia="宋体" w:cs="宋体"/>
        </w:rPr>
      </w:pPr>
    </w:p>
    <w:p w14:paraId="0403376B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———————————————————————————————</w:t>
      </w:r>
    </w:p>
    <w:p w14:paraId="6E3C8A67">
      <w:pPr>
        <w:spacing w:before="100"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808080"/>
          <w:sz w:val="18"/>
          <w:szCs w:val="18"/>
        </w:rPr>
        <w:t>本文档由上海</w:t>
      </w:r>
      <w:r>
        <w:rPr>
          <w:rFonts w:hint="eastAsia" w:ascii="宋体" w:hAnsi="宋体" w:eastAsia="宋体" w:cs="宋体"/>
          <w:color w:val="808080"/>
          <w:sz w:val="18"/>
          <w:szCs w:val="18"/>
          <w:lang w:val="en-US" w:eastAsia="zh-CN"/>
        </w:rPr>
        <w:t>掌数</w:t>
      </w:r>
      <w:r>
        <w:rPr>
          <w:rFonts w:hint="eastAsia" w:ascii="宋体" w:hAnsi="宋体" w:eastAsia="宋体" w:cs="宋体"/>
          <w:color w:val="808080"/>
          <w:sz w:val="18"/>
          <w:szCs w:val="18"/>
        </w:rPr>
        <w:t>科技有限公司（DataKnown）编制 | V1.0 展开版 | 2026-05-23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F8984">
    <w:pPr>
      <w:jc w:val="center"/>
    </w:pPr>
    <w:r>
      <w:rPr>
        <w:rFonts w:ascii="微软雅黑" w:hAnsi="微软雅黑" w:eastAsia="微软雅黑" w:cs="微软雅黑"/>
        <w:color w:val="808080"/>
        <w:sz w:val="16"/>
        <w:szCs w:val="16"/>
      </w:rPr>
      <w:t xml:space="preserve">上海数据知道科技有限公司 | DataKnown | 第 </w: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808080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16E89">
    <w:pPr>
      <w:jc w:val="right"/>
    </w:pPr>
    <w:r>
      <w:rPr>
        <w:rFonts w:ascii="微软雅黑" w:hAnsi="微软雅黑" w:eastAsia="微软雅黑" w:cs="微软雅黑"/>
        <w:color w:val="808080"/>
        <w:sz w:val="16"/>
        <w:szCs w:val="16"/>
      </w:rPr>
      <w:t>DB2 → DWS 迁移解决方案 | 证券基金资管行业专用 | 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727DD"/>
    <w:multiLevelType w:val="singleLevel"/>
    <w:tmpl w:val="9E6727D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D1F7ACFF"/>
    <w:multiLevelType w:val="singleLevel"/>
    <w:tmpl w:val="D1F7ACF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D923FF44"/>
    <w:multiLevelType w:val="singleLevel"/>
    <w:tmpl w:val="D923FF4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DAB68027"/>
    <w:multiLevelType w:val="singleLevel"/>
    <w:tmpl w:val="DAB68027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E52D82DD"/>
    <w:multiLevelType w:val="singleLevel"/>
    <w:tmpl w:val="E52D82D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F34210B4"/>
    <w:multiLevelType w:val="singleLevel"/>
    <w:tmpl w:val="F34210B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0EB29C64"/>
    <w:multiLevelType w:val="singleLevel"/>
    <w:tmpl w:val="0EB29C6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69247613"/>
    <w:multiLevelType w:val="singleLevel"/>
    <w:tmpl w:val="6924761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8">
    <w:nsid w:val="794A0D76"/>
    <w:multiLevelType w:val="singleLevel"/>
    <w:tmpl w:val="794A0D7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9">
    <w:nsid w:val="7CB7E358"/>
    <w:multiLevelType w:val="singleLevel"/>
    <w:tmpl w:val="7CB7E358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B72AA7"/>
    <w:rsid w:val="1D0A6913"/>
    <w:rsid w:val="29066838"/>
    <w:rsid w:val="437656C5"/>
    <w:rsid w:val="7A634C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3924</Words>
  <Characters>7667</Characters>
  <TotalTime>8</TotalTime>
  <ScaleCrop>false</ScaleCrop>
  <LinksUpToDate>false</LinksUpToDate>
  <CharactersWithSpaces>8532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2026-05-23T05:46:00Z</dcterms:created>
  <dc:creator>Un-named</dc:creator>
  <cp:lastModifiedBy>霍亮~上海</cp:lastModifiedBy>
  <dcterms:modified xsi:type="dcterms:W3CDTF">2026-05-27T02:04:01Z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eyJoZGlkIjoiMzEwNTM5NzYwMDRjMzkwZTVkZjY2ODkwMGIxNGU0OTUiLCJ1c2VySWQiOiI5ODU2NzMzMTEifQ==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EF98EBB604964390A1C03FF2D6CA4152_12</vt:lpwstr>
  </property>
</Properties>
</file>