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微软雅黑"/>
          <w:sz w:val="21"/>
          <w:szCs w:val="24"/>
        </w:rPr>
        <w:id w:val="1474596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23E2882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宋体" w:hAnsi="宋体" w:eastAsia="宋体" w:cs="宋体"/>
              <w:b/>
              <w:bCs/>
              <w:color w:val="000000" w:themeColor="text1"/>
              <w:sz w:val="36"/>
              <w:szCs w:val="36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577FCB0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_Toc17343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8"/>
            </w:rPr>
            <w:t>Greenplum 5.</w:t>
          </w:r>
          <w:r>
            <w:rPr>
              <w:rFonts w:hint="eastAsia" w:ascii="宋体" w:hAnsi="宋体" w:eastAsia="宋体" w:cs="宋体"/>
              <w:bCs/>
              <w:szCs w:val="48"/>
              <w:lang w:val="en-US" w:eastAsia="zh-CN"/>
            </w:rPr>
            <w:t>X</w:t>
          </w:r>
          <w:r>
            <w:rPr>
              <w:rFonts w:hint="eastAsia" w:ascii="宋体" w:hAnsi="宋体" w:eastAsia="宋体" w:cs="宋体"/>
              <w:bCs/>
              <w:szCs w:val="48"/>
            </w:rPr>
            <w:t>→ GaussDB(DWS) 8.2.1</w:t>
          </w:r>
          <w:r>
            <w:tab/>
          </w:r>
          <w:r>
            <w:fldChar w:fldCharType="begin"/>
          </w:r>
          <w:r>
            <w:instrText xml:space="preserve"> PAGEREF _Toc17343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3C196D8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_Toc14150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52"/>
            </w:rPr>
            <w:t>数仓迁移方案</w:t>
          </w:r>
          <w:r>
            <w:tab/>
          </w:r>
          <w:r>
            <w:fldChar w:fldCharType="begin"/>
          </w:r>
          <w:r>
            <w:instrText xml:space="preserve"> PAGEREF _Toc14150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9488DC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_Toc17008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一、迁移概述</w:t>
          </w:r>
          <w:r>
            <w:tab/>
          </w:r>
          <w:r>
            <w:fldChar w:fldCharType="begin"/>
          </w:r>
          <w:r>
            <w:instrText xml:space="preserve"> PAGEREF _Toc17008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766CEC6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_Toc5859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1.1 迁移目标</w:t>
          </w:r>
          <w:r>
            <w:tab/>
          </w:r>
          <w:r>
            <w:fldChar w:fldCharType="begin"/>
          </w:r>
          <w:r>
            <w:instrText xml:space="preserve"> PAGEREF _Toc5859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0D272E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_Toc554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1.2 迁移范围</w:t>
          </w:r>
          <w:r>
            <w:tab/>
          </w:r>
          <w:r>
            <w:fldChar w:fldCharType="begin"/>
          </w:r>
          <w:r>
            <w:instrText xml:space="preserve"> PAGEREF _Toc554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00D084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_Toc26402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1.3 迁移周期</w:t>
          </w:r>
          <w:r>
            <w:tab/>
          </w:r>
          <w:r>
            <w:fldChar w:fldCharType="begin"/>
          </w:r>
          <w:r>
            <w:instrText xml:space="preserve"> PAGEREF _Toc26402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E847B3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_Toc25022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二、技术架构对比</w:t>
          </w:r>
          <w:r>
            <w:tab/>
          </w:r>
          <w:r>
            <w:fldChar w:fldCharType="begin"/>
          </w:r>
          <w:r>
            <w:instrText xml:space="preserve"> PAGEREF _Toc25022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4DAC274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_Toc23440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2.1 源端架构现状</w:t>
          </w:r>
          <w:r>
            <w:tab/>
          </w:r>
          <w:r>
            <w:fldChar w:fldCharType="begin"/>
          </w:r>
          <w:r>
            <w:instrText xml:space="preserve"> PAGEREF _Toc23440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5DB3954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_Toc16028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2.2 目标端架构设计</w:t>
          </w:r>
          <w:r>
            <w:tab/>
          </w:r>
          <w:r>
            <w:fldChar w:fldCharType="begin"/>
          </w:r>
          <w:r>
            <w:instrText xml:space="preserve"> PAGEREF _Toc16028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207EEB5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_Toc15265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2.3 关键差异分析</w:t>
          </w:r>
          <w:r>
            <w:tab/>
          </w:r>
          <w:r>
            <w:fldChar w:fldCharType="begin"/>
          </w:r>
          <w:r>
            <w:instrText xml:space="preserve"> PAGEREF _Toc15265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3645E2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_Toc19205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三、详细迁移方案</w:t>
          </w:r>
          <w:r>
            <w:tab/>
          </w:r>
          <w:r>
            <w:fldChar w:fldCharType="begin"/>
          </w:r>
          <w:r>
            <w:instrText xml:space="preserve"> PAGEREF _Toc19205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7BCA066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_Toc24238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3.1 阶段一：评估规划（2-4周）</w:t>
          </w:r>
          <w:r>
            <w:tab/>
          </w:r>
          <w:r>
            <w:fldChar w:fldCharType="begin"/>
          </w:r>
          <w:r>
            <w:instrText xml:space="preserve"> PAGEREF _Toc24238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CCAFFBA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_Toc7845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3.1.1 工作内容</w:t>
          </w:r>
          <w:r>
            <w:tab/>
          </w:r>
          <w:r>
            <w:fldChar w:fldCharType="begin"/>
          </w:r>
          <w:r>
            <w:instrText xml:space="preserve"> PAGEREF _Toc7845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47AB26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_Toc27808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3.1.2 兼容性评估矩阵</w:t>
          </w:r>
          <w:r>
            <w:tab/>
          </w:r>
          <w:r>
            <w:fldChar w:fldCharType="begin"/>
          </w:r>
          <w:r>
            <w:instrText xml:space="preserve"> PAGEREF _Toc27808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B2D776A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_Toc7422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3.1.3 评估工具与方法</w:t>
          </w:r>
          <w:r>
            <w:tab/>
          </w:r>
          <w:r>
            <w:fldChar w:fldCharType="begin"/>
          </w:r>
          <w:r>
            <w:instrText xml:space="preserve"> PAGEREF _Toc7422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12D81A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_Toc12580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 阶段二：POC 验证（4-8周）</w:t>
          </w:r>
          <w:r>
            <w:tab/>
          </w:r>
          <w:r>
            <w:fldChar w:fldCharType="begin"/>
          </w:r>
          <w:r>
            <w:instrText xml:space="preserve"> PAGEREF _Toc12580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56B22FE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_Toc26717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3.2.1 环境搭建</w:t>
          </w:r>
          <w:r>
            <w:tab/>
          </w:r>
          <w:r>
            <w:fldChar w:fldCharType="begin"/>
          </w:r>
          <w:r>
            <w:instrText xml:space="preserve"> PAGEREF _Toc26717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C16C3C9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_Toc32102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3.2.2 DDL 迁移测试</w:t>
          </w:r>
          <w:r>
            <w:tab/>
          </w:r>
          <w:r>
            <w:fldChar w:fldCharType="begin"/>
          </w:r>
          <w:r>
            <w:instrText xml:space="preserve"> PAGEREF _Toc32102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F0FDDF4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_Toc3362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3.2.3 数据迁移测试</w:t>
          </w:r>
          <w:r>
            <w:tab/>
          </w:r>
          <w:r>
            <w:fldChar w:fldCharType="begin"/>
          </w:r>
          <w:r>
            <w:instrText xml:space="preserve"> PAGEREF _Toc3362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B1FBD1B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_Toc13463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3.2.4 UDF 迁移测试</w:t>
          </w:r>
          <w:r>
            <w:tab/>
          </w:r>
          <w:r>
            <w:fldChar w:fldCharType="begin"/>
          </w:r>
          <w:r>
            <w:instrText xml:space="preserve"> PAGEREF _Toc13463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4B94B0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_Toc12455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3.2.5 madlib 替代方案</w:t>
          </w:r>
          <w:r>
            <w:tab/>
          </w:r>
          <w:r>
            <w:fldChar w:fldCharType="begin"/>
          </w:r>
          <w:r>
            <w:instrText xml:space="preserve"> PAGEREF _Toc12455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0BF0524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_Toc16857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3.3 阶段三：正式迁移（8-12周）</w:t>
          </w:r>
          <w:r>
            <w:tab/>
          </w:r>
          <w:r>
            <w:fldChar w:fldCharType="begin"/>
          </w:r>
          <w:r>
            <w:instrText xml:space="preserve"> PAGEREF _Toc16857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D10420D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_Toc10255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3.3.1 迁移执行计划</w:t>
          </w:r>
          <w:r>
            <w:tab/>
          </w:r>
          <w:r>
            <w:fldChar w:fldCharType="begin"/>
          </w:r>
          <w:r>
            <w:instrText xml:space="preserve"> PAGEREF _Toc10255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E8431E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_Toc27196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3.3.2 数据迁移执行</w:t>
          </w:r>
          <w:r>
            <w:tab/>
          </w:r>
          <w:r>
            <w:fldChar w:fldCharType="begin"/>
          </w:r>
          <w:r>
            <w:instrText xml:space="preserve"> PAGEREF _Toc27196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EFFEDBD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_Toc16055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3.3.3 ETL 任务迁移</w:t>
          </w:r>
          <w:r>
            <w:tab/>
          </w:r>
          <w:r>
            <w:fldChar w:fldCharType="begin"/>
          </w:r>
          <w:r>
            <w:instrText xml:space="preserve"> PAGEREF _Toc16055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73A5BD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_Toc17393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3.4 阶段四：割接上线（1-2周）</w:t>
          </w:r>
          <w:r>
            <w:tab/>
          </w:r>
          <w:r>
            <w:fldChar w:fldCharType="begin"/>
          </w:r>
          <w:r>
            <w:instrText xml:space="preserve"> PAGEREF _Toc17393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D6E5A85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_Toc28973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3.4.1 割接流程</w:t>
          </w:r>
          <w:r>
            <w:tab/>
          </w:r>
          <w:r>
            <w:fldChar w:fldCharType="begin"/>
          </w:r>
          <w:r>
            <w:instrText xml:space="preserve"> PAGEREF _Toc28973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32A8FA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3.4.2 割接当日详细时间表</w:t>
          </w:r>
          <w:r>
            <w:tab/>
          </w:r>
          <w:r>
            <w:fldChar w:fldCharType="begin"/>
          </w:r>
          <w:r>
            <w:instrText xml:space="preserve"> PAGEREF _Toc9194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F6948A2">
          <w:pPr>
            <w:pStyle w:val="8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_Toc18642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3.4.3 回退方案</w:t>
          </w:r>
          <w:r>
            <w:tab/>
          </w:r>
          <w:r>
            <w:fldChar w:fldCharType="begin"/>
          </w:r>
          <w:r>
            <w:instrText xml:space="preserve"> PAGEREF _Toc18642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AB9B048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_Toc7534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四、风险管理与应急预案</w:t>
          </w:r>
          <w:r>
            <w:tab/>
          </w:r>
          <w:r>
            <w:fldChar w:fldCharType="begin"/>
          </w:r>
          <w:r>
            <w:instrText xml:space="preserve"> PAGEREF _Toc7534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47777ED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_Toc9617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4.1 风险清单</w:t>
          </w:r>
          <w:r>
            <w:tab/>
          </w:r>
          <w:r>
            <w:fldChar w:fldCharType="begin"/>
          </w:r>
          <w:r>
            <w:instrText xml:space="preserve"> PAGEREF _Toc9617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D4A59A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_Toc19316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4.2 应急响应流程</w:t>
          </w:r>
          <w:r>
            <w:tab/>
          </w:r>
          <w:r>
            <w:fldChar w:fldCharType="begin"/>
          </w:r>
          <w:r>
            <w:instrText xml:space="preserve"> PAGEREF _Toc19316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E3133E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_Toc28245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4.3 关键保障措施</w:t>
          </w:r>
          <w:r>
            <w:tab/>
          </w:r>
          <w:r>
            <w:fldChar w:fldCharType="begin"/>
          </w:r>
          <w:r>
            <w:instrText xml:space="preserve"> PAGEREF _Toc28245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952F9E6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_Toc6598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五、资源需求</w:t>
          </w:r>
          <w:r>
            <w:tab/>
          </w:r>
          <w:r>
            <w:fldChar w:fldCharType="begin"/>
          </w:r>
          <w:r>
            <w:instrText xml:space="preserve"> PAGEREF _Toc6598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FDAFD91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_Toc9762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5.1 硬件资源</w:t>
          </w:r>
          <w:r>
            <w:tab/>
          </w:r>
          <w:r>
            <w:fldChar w:fldCharType="begin"/>
          </w:r>
          <w:r>
            <w:instrText xml:space="preserve"> PAGEREF _Toc9762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317888B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_Toc13365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5.2 人力资源</w:t>
          </w:r>
          <w:r>
            <w:tab/>
          </w:r>
          <w:r>
            <w:fldChar w:fldCharType="begin"/>
          </w:r>
          <w:r>
            <w:instrText xml:space="preserve"> PAGEREF _Toc13365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327160E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_Toc4857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六、交付物清单</w:t>
          </w:r>
          <w:r>
            <w:tab/>
          </w:r>
          <w:r>
            <w:fldChar w:fldCharType="begin"/>
          </w:r>
          <w:r>
            <w:instrText xml:space="preserve"> PAGEREF _Toc4857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4B9B53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_Toc13410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七、关键建议</w:t>
          </w:r>
          <w:r>
            <w:tab/>
          </w:r>
          <w:r>
            <w:fldChar w:fldCharType="begin"/>
          </w:r>
          <w:r>
            <w:instrText xml:space="preserve"> PAGEREF _Toc13410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49D133A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_Toc19706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7.1 必须要做的</w:t>
          </w:r>
          <w:r>
            <w:tab/>
          </w:r>
          <w:r>
            <w:fldChar w:fldCharType="begin"/>
          </w:r>
          <w:r>
            <w:instrText xml:space="preserve"> PAGEREF _Toc19706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B893C5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_Toc10988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7.2 建议考虑的</w:t>
          </w:r>
          <w:r>
            <w:tab/>
          </w:r>
          <w:r>
            <w:fldChar w:fldCharType="begin"/>
          </w:r>
          <w:r>
            <w:instrText xml:space="preserve"> PAGEREF _Toc10988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0AE22C6">
          <w:pPr>
            <w:pStyle w:val="12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_Toc32597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7.3 需要避免的</w:t>
          </w:r>
          <w:r>
            <w:tab/>
          </w:r>
          <w:r>
            <w:fldChar w:fldCharType="begin"/>
          </w:r>
          <w:r>
            <w:instrText xml:space="preserve"> PAGEREF _Toc32597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A7BAC66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_Toc18185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附录A：GP 与 DWS 语法差异对照表</w:t>
          </w:r>
          <w:r>
            <w:tab/>
          </w:r>
          <w:r>
            <w:fldChar w:fldCharType="begin"/>
          </w:r>
          <w:r>
            <w:instrText xml:space="preserve"> PAGEREF _Toc18185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E2F022D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_Toc12815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附录B：常用数据类型对照表</w:t>
          </w:r>
          <w:r>
            <w:tab/>
          </w:r>
          <w:r>
            <w:fldChar w:fldCharType="begin"/>
          </w:r>
          <w:r>
            <w:instrText xml:space="preserve"> PAGEREF _Toc12815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46A8F82">
          <w:pPr>
            <w:pStyle w:val="10"/>
            <w:tabs>
              <w:tab w:val="right" w:leader="dot" w:pos="9360"/>
            </w:tabs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_Toc14283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/>
            </w:rPr>
            <w:t>附录C：联系人信息</w:t>
          </w:r>
          <w:r>
            <w:tab/>
          </w:r>
          <w:r>
            <w:fldChar w:fldCharType="begin"/>
          </w:r>
          <w:r>
            <w:instrText xml:space="preserve"> PAGEREF _Toc14283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DFB165E">
          <w:pPr>
            <w:spacing w:before="2400"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23C8079A">
      <w:pPr>
        <w:spacing w:before="240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959E404">
      <w:pPr>
        <w:rPr>
          <w:rFonts w:hint="eastAsia" w:ascii="宋体" w:hAnsi="宋体" w:eastAsia="宋体" w:cs="宋体"/>
          <w:b/>
          <w:bCs/>
          <w:color w:val="2B579A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color w:val="2B579A"/>
          <w:sz w:val="48"/>
          <w:szCs w:val="48"/>
        </w:rPr>
        <w:br w:type="page"/>
      </w:r>
    </w:p>
    <w:p w14:paraId="21FBC7B3">
      <w:pPr>
        <w:pStyle w:val="2"/>
        <w:spacing w:line="360" w:lineRule="auto"/>
        <w:jc w:val="center"/>
        <w:rPr>
          <w:rFonts w:hint="eastAsia" w:ascii="宋体" w:hAnsi="宋体" w:eastAsia="宋体" w:cs="宋体"/>
          <w:b/>
          <w:bCs/>
          <w:sz w:val="48"/>
          <w:szCs w:val="48"/>
        </w:rPr>
      </w:pPr>
      <w:bookmarkStart w:id="0" w:name="_Toc17343"/>
      <w:r>
        <w:rPr>
          <w:rFonts w:hint="eastAsia" w:ascii="宋体" w:hAnsi="宋体" w:eastAsia="宋体" w:cs="宋体"/>
          <w:b/>
          <w:bCs/>
          <w:sz w:val="48"/>
          <w:szCs w:val="48"/>
        </w:rPr>
        <w:t>Greenplum 5.</w:t>
      </w: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X</w:t>
      </w:r>
      <w:r>
        <w:rPr>
          <w:rFonts w:hint="eastAsia" w:ascii="宋体" w:hAnsi="宋体" w:eastAsia="宋体" w:cs="宋体"/>
          <w:b/>
          <w:bCs/>
          <w:sz w:val="48"/>
          <w:szCs w:val="48"/>
        </w:rPr>
        <w:t>→ GaussDB(DWS) 8.2.1</w:t>
      </w:r>
      <w:bookmarkEnd w:id="0"/>
    </w:p>
    <w:p w14:paraId="681182DB">
      <w:pPr>
        <w:pStyle w:val="3"/>
        <w:spacing w:line="360" w:lineRule="auto"/>
        <w:jc w:val="center"/>
        <w:rPr>
          <w:rFonts w:hint="eastAsia" w:ascii="宋体" w:hAnsi="宋体" w:eastAsia="宋体" w:cs="宋体"/>
          <w:b/>
          <w:bCs/>
          <w:sz w:val="52"/>
          <w:szCs w:val="52"/>
        </w:rPr>
      </w:pPr>
      <w:bookmarkStart w:id="1" w:name="_Toc14150"/>
      <w:r>
        <w:rPr>
          <w:rFonts w:hint="eastAsia" w:ascii="宋体" w:hAnsi="宋体" w:eastAsia="宋体" w:cs="宋体"/>
          <w:b/>
          <w:bCs/>
          <w:sz w:val="52"/>
          <w:szCs w:val="52"/>
        </w:rPr>
        <w:t>数仓迁移方案</w:t>
      </w:r>
      <w:bookmarkEnd w:id="1"/>
    </w:p>
    <w:p w14:paraId="210A303A">
      <w:pPr>
        <w:spacing w:before="800" w:line="360" w:lineRule="auto"/>
        <w:rPr>
          <w:rFonts w:hint="eastAsia" w:ascii="宋体" w:hAnsi="宋体" w:eastAsia="宋体" w:cs="宋体"/>
        </w:rPr>
      </w:pPr>
    </w:p>
    <w:p w14:paraId="4D1C1926">
      <w:pPr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6666"/>
          <w:sz w:val="24"/>
          <w:szCs w:val="24"/>
        </w:rPr>
        <w:t>基于调研模板分析，针对 35TB 数据量、2700 表、1300 UDF、1300 采集任务的迁移规划</w:t>
      </w:r>
    </w:p>
    <w:p w14:paraId="6F251158">
      <w:pPr>
        <w:spacing w:before="1600" w:line="360" w:lineRule="auto"/>
        <w:rPr>
          <w:rFonts w:hint="eastAsia" w:ascii="宋体" w:hAnsi="宋体" w:eastAsia="宋体" w:cs="宋体"/>
        </w:rPr>
      </w:pPr>
    </w:p>
    <w:p w14:paraId="42C2158B">
      <w:pPr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版本：v1.0</w:t>
      </w:r>
    </w:p>
    <w:p w14:paraId="6854FB71">
      <w:pPr>
        <w:spacing w:before="100" w:line="360" w:lineRule="auto"/>
        <w:jc w:val="center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日期：2026-05-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bookmarkStart w:id="44" w:name="_GoBack"/>
      <w:bookmarkEnd w:id="44"/>
    </w:p>
    <w:p w14:paraId="5C11DD49">
      <w:pPr>
        <w:spacing w:before="100"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适用场景：Greenplum 5.x → GaussDB(DWS) 8.x 迁移</w:t>
      </w:r>
    </w:p>
    <w:p w14:paraId="4B7E58BC">
      <w:pPr>
        <w:spacing w:line="360" w:lineRule="auto"/>
        <w:rPr>
          <w:rFonts w:hint="eastAsia" w:ascii="宋体" w:hAnsi="宋体" w:eastAsia="宋体" w:cs="宋体"/>
        </w:rPr>
      </w:pPr>
    </w:p>
    <w:sdt>
      <w:sdtPr>
        <w:rPr>
          <w:rFonts w:hint="eastAsia" w:ascii="宋体" w:hAnsi="宋体" w:eastAsia="宋体" w:cs="宋体"/>
        </w:rPr>
        <w:alias w:val="目录"/>
        <w:id w:val="147480018"/>
      </w:sdtPr>
      <w:sdtEndPr>
        <w:rPr>
          <w:rFonts w:hint="eastAsia" w:ascii="宋体" w:hAnsi="宋体" w:eastAsia="宋体" w:cs="宋体"/>
        </w:rPr>
      </w:sdtEndPr>
      <w:sdtContent>
        <w:p w14:paraId="04BA3D25">
          <w:pPr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\h \o "1-3"</w:instrText>
          </w:r>
          <w:r>
            <w:rPr>
              <w:rFonts w:hint="eastAsia" w:ascii="宋体" w:hAnsi="宋体" w:eastAsia="宋体" w:cs="宋体"/>
            </w:rPr>
            <w:fldChar w:fldCharType="separate"/>
          </w:r>
        </w:p>
        <w:p w14:paraId="72917A1E">
          <w:pPr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36962ED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E0871B5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2" w:name="_Toc17008"/>
      <w:r>
        <w:rPr>
          <w:rFonts w:hint="eastAsia" w:ascii="宋体" w:hAnsi="宋体" w:eastAsia="宋体" w:cs="宋体"/>
          <w:b/>
          <w:bCs/>
        </w:rPr>
        <w:t>一、迁移概述</w:t>
      </w:r>
      <w:bookmarkEnd w:id="2"/>
    </w:p>
    <w:p w14:paraId="0228FB79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" w:name="_Toc5859"/>
      <w:r>
        <w:rPr>
          <w:rFonts w:hint="eastAsia" w:ascii="宋体" w:hAnsi="宋体" w:eastAsia="宋体" w:cs="宋体"/>
          <w:b/>
          <w:bCs/>
        </w:rPr>
        <w:t>1.1 迁移目标</w:t>
      </w:r>
      <w:bookmarkEnd w:id="3"/>
    </w:p>
    <w:p w14:paraId="249FC828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本次迁移旨在将现有 Greenplum 5.23 数据仓库平滑迁移至华为 GaussDB(DWS) 8.2.1，实现数据库平台的国产化替代，同时满足信创合规要求。</w:t>
      </w:r>
    </w:p>
    <w:tbl>
      <w:tblPr>
        <w:tblStyle w:val="14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500"/>
        <w:gridCol w:w="3500"/>
      </w:tblGrid>
      <w:tr w14:paraId="5EE6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FA0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项目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3D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源端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D53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目标端</w:t>
            </w:r>
          </w:p>
        </w:tc>
      </w:tr>
      <w:tr w14:paraId="68FF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1D1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数据仓库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986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Greenplum 5.23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0F6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GaussDB(DWS) 8.2.1</w:t>
            </w:r>
          </w:p>
        </w:tc>
      </w:tr>
      <w:tr w14:paraId="5ABF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D19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操作系统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A39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RedHat 7.4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D56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麒麟 V10SP2</w:t>
            </w:r>
          </w:p>
        </w:tc>
      </w:tr>
      <w:tr w14:paraId="5AE9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473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硬件平台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054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Intel x86 (20C/512G)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840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ARM (64C/512G)</w:t>
            </w:r>
          </w:p>
        </w:tc>
      </w:tr>
      <w:tr w14:paraId="416D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D5F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B0E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35 TB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00C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35 TB</w:t>
            </w:r>
          </w:p>
        </w:tc>
      </w:tr>
      <w:tr w14:paraId="23E4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132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节点规模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35B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 Master + 6 Segment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67B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 xml:space="preserve">2 Master +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</w:rPr>
              <w:t xml:space="preserve"> Segment</w:t>
            </w:r>
          </w:p>
        </w:tc>
      </w:tr>
    </w:tbl>
    <w:p w14:paraId="00C5D1FA">
      <w:pPr>
        <w:spacing w:after="200" w:line="360" w:lineRule="auto"/>
        <w:rPr>
          <w:rFonts w:hint="eastAsia" w:ascii="宋体" w:hAnsi="宋体" w:eastAsia="宋体" w:cs="宋体"/>
        </w:rPr>
      </w:pPr>
    </w:p>
    <w:p w14:paraId="2026392D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4" w:name="_Toc554"/>
      <w:r>
        <w:rPr>
          <w:rFonts w:hint="eastAsia" w:ascii="宋体" w:hAnsi="宋体" w:eastAsia="宋体" w:cs="宋体"/>
          <w:b/>
          <w:bCs/>
        </w:rPr>
        <w:t>1.2 迁移范围</w:t>
      </w:r>
      <w:bookmarkEnd w:id="4"/>
    </w:p>
    <w:p w14:paraId="2EBEE938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迁移范围涵盖数据库对象、数据内容、ETL 任务及调度系统等多个层面：</w:t>
      </w:r>
    </w:p>
    <w:tbl>
      <w:tblPr>
        <w:tblStyle w:val="14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500"/>
        <w:gridCol w:w="3500"/>
      </w:tblGrid>
      <w:tr w14:paraId="3DB7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455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09B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989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迁移方式</w:t>
            </w:r>
          </w:p>
        </w:tc>
      </w:tr>
      <w:tr w14:paraId="3E4B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BD2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数据库对象（表/视图/函数）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054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4,100+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5C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DRS/UGO 工具 + 手动适配</w:t>
            </w:r>
          </w:p>
        </w:tc>
      </w:tr>
      <w:tr w14:paraId="6930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8B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数据采集任务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61E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1,300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2E9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重写（Kettle → DataX）</w:t>
            </w:r>
          </w:p>
        </w:tc>
      </w:tr>
      <w:tr w14:paraId="100D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531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调度任务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51C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1,500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BBF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适配迁移</w:t>
            </w:r>
          </w:p>
        </w:tc>
      </w:tr>
      <w:tr w14:paraId="439C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27F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BI 报表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E42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1,500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B06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无需迁移（FineReport 不变）</w:t>
            </w:r>
          </w:p>
        </w:tc>
      </w:tr>
    </w:tbl>
    <w:p w14:paraId="7502FCE0">
      <w:pPr>
        <w:spacing w:after="200" w:line="360" w:lineRule="auto"/>
        <w:rPr>
          <w:rFonts w:hint="eastAsia" w:ascii="宋体" w:hAnsi="宋体" w:eastAsia="宋体" w:cs="宋体"/>
        </w:rPr>
      </w:pPr>
    </w:p>
    <w:p w14:paraId="35B963B7">
      <w:pPr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0491AC94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5" w:name="_Toc26402"/>
      <w:r>
        <w:rPr>
          <w:rFonts w:hint="eastAsia" w:ascii="宋体" w:hAnsi="宋体" w:eastAsia="宋体" w:cs="宋体"/>
          <w:b/>
          <w:bCs/>
        </w:rPr>
        <w:t>1.3 迁移周期</w:t>
      </w:r>
      <w:bookmarkEnd w:id="5"/>
    </w:p>
    <w:p w14:paraId="30F00C4B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整体迁移周期预计 4-6 个月，分为四个阶段：</w:t>
      </w:r>
    </w:p>
    <w:tbl>
      <w:tblPr>
        <w:tblStyle w:val="14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4500"/>
      </w:tblGrid>
      <w:tr w14:paraId="765B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E9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690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时间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9EC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主要工作</w:t>
            </w:r>
          </w:p>
        </w:tc>
      </w:tr>
      <w:tr w14:paraId="361F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113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阶段一：评估规划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E40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2-4周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2D8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需求调研、兼容性评估、方案设计</w:t>
            </w:r>
          </w:p>
        </w:tc>
      </w:tr>
      <w:tr w14:paraId="1338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7E2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阶段二：POC验证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A71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4-8周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17B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环境搭建、迁移测试、性能压测</w:t>
            </w:r>
          </w:p>
        </w:tc>
      </w:tr>
      <w:tr w14:paraId="287A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87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阶段三：正式迁移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05F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8-12周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51B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DDL/DML/UDF迁移、ETL改造</w:t>
            </w:r>
          </w:p>
        </w:tc>
      </w:tr>
      <w:tr w14:paraId="63FF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FE1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阶段四：割接上线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A2F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1-2周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266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数据校验、业务验证、正式割接</w:t>
            </w:r>
          </w:p>
        </w:tc>
      </w:tr>
    </w:tbl>
    <w:p w14:paraId="2E798241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E5FE4B3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6" w:name="_Toc25022"/>
      <w:r>
        <w:rPr>
          <w:rFonts w:hint="eastAsia" w:ascii="宋体" w:hAnsi="宋体" w:eastAsia="宋体" w:cs="宋体"/>
          <w:b/>
          <w:bCs/>
        </w:rPr>
        <w:t>二、技术架构对比</w:t>
      </w:r>
      <w:bookmarkEnd w:id="6"/>
    </w:p>
    <w:p w14:paraId="14D915F9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7" w:name="_Toc23440"/>
      <w:r>
        <w:rPr>
          <w:rFonts w:hint="eastAsia" w:ascii="宋体" w:hAnsi="宋体" w:eastAsia="宋体" w:cs="宋体"/>
          <w:b/>
          <w:bCs/>
        </w:rPr>
        <w:t>2.1 源端架构现状</w:t>
      </w:r>
      <w:bookmarkEnd w:id="7"/>
    </w:p>
    <w:p w14:paraId="5DC74807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当前数据仓库基于 Greenplum 5.23 构建，采用 MPP 架构，主要组件包括：</w:t>
      </w:r>
    </w:p>
    <w:p w14:paraId="787159D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数据源：Oracle、MySQL、文件系统（共 10 个数据源）</w:t>
      </w:r>
    </w:p>
    <w:p w14:paraId="062328C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数据采集：Kettle 7.x，共计 1,300 个采集任务</w:t>
      </w:r>
    </w:p>
    <w:p w14:paraId="10745170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任务调度：iControl，共计 1,500 个调度任务</w:t>
      </w:r>
    </w:p>
    <w:p w14:paraId="60D26263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数据仓库：Greenplum 5.23，2 Master + 6 Segment 架构</w:t>
      </w:r>
    </w:p>
    <w:p w14:paraId="309EEF3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BI 报表：FineReport 9.x，共 1,500 个报表</w:t>
      </w:r>
    </w:p>
    <w:p w14:paraId="30277E4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扩展插件：madlib 机器学习库</w:t>
      </w:r>
    </w:p>
    <w:p w14:paraId="7530B7EE">
      <w:pPr>
        <w:spacing w:after="200" w:line="360" w:lineRule="auto"/>
        <w:rPr>
          <w:rFonts w:hint="eastAsia" w:ascii="宋体" w:hAnsi="宋体" w:eastAsia="宋体" w:cs="宋体"/>
        </w:rPr>
      </w:pPr>
    </w:p>
    <w:p w14:paraId="6FA6B2D9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8" w:name="_Toc16028"/>
      <w:r>
        <w:rPr>
          <w:rFonts w:hint="eastAsia" w:ascii="宋体" w:hAnsi="宋体" w:eastAsia="宋体" w:cs="宋体"/>
          <w:b/>
          <w:bCs/>
        </w:rPr>
        <w:t>2.2 目标端架构设计</w:t>
      </w:r>
      <w:bookmarkEnd w:id="8"/>
    </w:p>
    <w:p w14:paraId="1391436F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目标端采用华为 GaussDB(DWS) 8.2.1，同样基于 MPP 架构，与 Greenplum 高度兼容：</w:t>
      </w:r>
    </w:p>
    <w:p w14:paraId="4F0272B3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数据源：保持不变（Oracle、MySQL、文件系统）</w:t>
      </w:r>
    </w:p>
    <w:p w14:paraId="113FA94C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数据采集：DataX 3.x + DolphinScheduler（替代 Kettle）</w:t>
      </w:r>
    </w:p>
    <w:p w14:paraId="7C1A239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任务调度：自研调度平台（或 DolphinScheduler）</w:t>
      </w:r>
    </w:p>
    <w:p w14:paraId="401A761F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数据仓库：GaussDB(DWS) 8.2.1，CN + DN 架构</w:t>
      </w:r>
    </w:p>
    <w:p w14:paraId="1929A8EF">
      <w:pPr>
        <w:pStyle w:val="19"/>
        <w:numPr>
          <w:ilvl w:val="0"/>
          <w:numId w:val="1"/>
        </w:numPr>
        <w:spacing w:line="360" w:lineRule="auto"/>
        <w:ind w:left="720" w:leftChars="0" w:hanging="36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BI 报表：FineReport 9.x（无需变更）</w:t>
      </w:r>
    </w:p>
    <w:p w14:paraId="201D326D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扩展插件：DWS ML 或 Spark MLlib（替代 madlib）</w:t>
      </w:r>
    </w:p>
    <w:p w14:paraId="750BDE37">
      <w:pPr>
        <w:spacing w:after="200" w:line="360" w:lineRule="auto"/>
        <w:rPr>
          <w:rFonts w:hint="eastAsia" w:ascii="宋体" w:hAnsi="宋体" w:eastAsia="宋体" w:cs="宋体"/>
        </w:rPr>
      </w:pPr>
    </w:p>
    <w:p w14:paraId="55CA5CA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0677CECF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9" w:name="_Toc15265"/>
      <w:r>
        <w:rPr>
          <w:rFonts w:hint="eastAsia" w:ascii="宋体" w:hAnsi="宋体" w:eastAsia="宋体" w:cs="宋体"/>
          <w:b/>
          <w:bCs/>
        </w:rPr>
        <w:t>2.3 关键差异分析</w:t>
      </w:r>
      <w:bookmarkEnd w:id="9"/>
    </w:p>
    <w:tbl>
      <w:tblPr>
        <w:tblStyle w:val="14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2500"/>
        <w:gridCol w:w="2500"/>
      </w:tblGrid>
      <w:tr w14:paraId="288F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F88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对比维度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CA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源端(GP)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01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目标端(DWS)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AD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差异影响</w:t>
            </w:r>
          </w:p>
        </w:tc>
      </w:tr>
      <w:tr w14:paraId="5DD8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237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硬件架构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DDD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Intel x86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A9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ARM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C00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需验证软件兼容性</w:t>
            </w:r>
          </w:p>
        </w:tc>
      </w:tr>
      <w:tr w14:paraId="78C5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79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操作系统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180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RedHat 7.4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B96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麒麟 V10SP2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2EB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信创要求，需适配</w:t>
            </w:r>
          </w:p>
        </w:tc>
      </w:tr>
      <w:tr w14:paraId="1E83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7D7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数据采集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F47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Kettle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539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DataX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095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ETL任务需重写</w:t>
            </w:r>
          </w:p>
        </w:tc>
      </w:tr>
      <w:tr w14:paraId="797C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A89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任务调度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E86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iControl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B2E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自研/DolphinScheduler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28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调度逻辑需适配</w:t>
            </w:r>
          </w:p>
        </w:tc>
      </w:tr>
      <w:tr w14:paraId="5902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E7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机器学习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C30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04D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ML/Spark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16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算法需替代</w:t>
            </w:r>
          </w:p>
        </w:tc>
      </w:tr>
    </w:tbl>
    <w:p w14:paraId="498C2D3C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60FDECB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10" w:name="_Toc19205"/>
      <w:r>
        <w:rPr>
          <w:rFonts w:hint="eastAsia" w:ascii="宋体" w:hAnsi="宋体" w:eastAsia="宋体" w:cs="宋体"/>
          <w:b/>
          <w:bCs/>
        </w:rPr>
        <w:t>三、详细迁移方案</w:t>
      </w:r>
      <w:bookmarkEnd w:id="10"/>
    </w:p>
    <w:p w14:paraId="7D28924B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11" w:name="_Toc24238"/>
      <w:r>
        <w:rPr>
          <w:rFonts w:hint="eastAsia" w:ascii="宋体" w:hAnsi="宋体" w:eastAsia="宋体" w:cs="宋体"/>
          <w:b/>
          <w:bCs/>
        </w:rPr>
        <w:t>3.1 阶段一：评估规划（2-4周）</w:t>
      </w:r>
      <w:bookmarkEnd w:id="11"/>
    </w:p>
    <w:p w14:paraId="00F5AE55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2" w:name="_Toc7845"/>
      <w:r>
        <w:rPr>
          <w:rFonts w:hint="eastAsia" w:ascii="宋体" w:hAnsi="宋体" w:eastAsia="宋体" w:cs="宋体"/>
          <w:b/>
          <w:bCs/>
        </w:rPr>
        <w:t>3.1.1 工作内容</w:t>
      </w:r>
      <w:bookmarkEnd w:id="12"/>
    </w:p>
    <w:tbl>
      <w:tblPr>
        <w:tblStyle w:val="14"/>
        <w:tblW w:w="10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000"/>
        <w:gridCol w:w="2000"/>
        <w:gridCol w:w="3000"/>
        <w:gridCol w:w="1500"/>
      </w:tblGrid>
      <w:tr w14:paraId="4119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6FF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序号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D87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任务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A22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负责方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BD8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交付物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8CE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工期</w:t>
            </w:r>
          </w:p>
        </w:tc>
      </w:tr>
      <w:tr w14:paraId="7B18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9E8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587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需求调研与确认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BB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甲乙双方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3E9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需求调研报告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450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1周</w:t>
            </w:r>
          </w:p>
        </w:tc>
      </w:tr>
      <w:tr w14:paraId="005D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21A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36D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源端环境梳理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C94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6CF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环境清单、元数据统计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D7E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1周</w:t>
            </w:r>
          </w:p>
        </w:tc>
      </w:tr>
      <w:tr w14:paraId="1176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D34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A60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兼容性评估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D33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乙方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DD9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兼容性评估报告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2E3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1周</w:t>
            </w:r>
          </w:p>
        </w:tc>
      </w:tr>
      <w:tr w14:paraId="25FE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FD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A7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迁移方案设计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596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乙方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C3C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迁移方案文档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DBF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1周</w:t>
            </w:r>
          </w:p>
        </w:tc>
      </w:tr>
      <w:tr w14:paraId="5A0E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830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0E8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资源规划与申请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23C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700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资源清单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0A2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1周</w:t>
            </w:r>
          </w:p>
        </w:tc>
      </w:tr>
    </w:tbl>
    <w:p w14:paraId="3B08FBA6">
      <w:pPr>
        <w:spacing w:after="200" w:line="360" w:lineRule="auto"/>
        <w:rPr>
          <w:rFonts w:hint="eastAsia" w:ascii="宋体" w:hAnsi="宋体" w:eastAsia="宋体" w:cs="宋体"/>
        </w:rPr>
      </w:pPr>
    </w:p>
    <w:p w14:paraId="3CE65359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3" w:name="_Toc27808"/>
      <w:r>
        <w:rPr>
          <w:rFonts w:hint="eastAsia" w:ascii="宋体" w:hAnsi="宋体" w:eastAsia="宋体" w:cs="宋体"/>
          <w:b/>
          <w:bCs/>
        </w:rPr>
        <w:t>3.1.2 兼容性评估矩阵</w:t>
      </w:r>
      <w:bookmarkEnd w:id="13"/>
    </w:p>
    <w:p w14:paraId="42226D6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 GP 与 DWS 的语法差异，对各类数据库对象进行兼容性评估：</w:t>
      </w:r>
    </w:p>
    <w:tbl>
      <w:tblPr>
        <w:tblStyle w:val="14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2000"/>
        <w:gridCol w:w="2500"/>
      </w:tblGrid>
      <w:tr w14:paraId="3073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B32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评估项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00A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兼容度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673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风险等级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078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工作量评估</w:t>
            </w:r>
          </w:p>
        </w:tc>
      </w:tr>
      <w:tr w14:paraId="0619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0A4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DDL 语法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2EF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068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802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2-3 人天</w:t>
            </w:r>
          </w:p>
        </w:tc>
      </w:tr>
      <w:tr w14:paraId="100C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3FE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DML 语法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0E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556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870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1-2 人天</w:t>
            </w:r>
          </w:p>
        </w:tc>
      </w:tr>
      <w:tr w14:paraId="6788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034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13B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0F8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8F3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1-2 人天</w:t>
            </w:r>
          </w:p>
        </w:tc>
      </w:tr>
      <w:tr w14:paraId="67E3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A2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分区表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4B5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5BA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693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1-2 人天</w:t>
            </w:r>
          </w:p>
        </w:tc>
      </w:tr>
      <w:tr w14:paraId="08ED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34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视图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49F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A7E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C79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3-5 人天</w:t>
            </w:r>
          </w:p>
        </w:tc>
      </w:tr>
      <w:tr w14:paraId="2DF9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BE6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SQL 函数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51C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B1D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893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5-10 人天</w:t>
            </w:r>
          </w:p>
        </w:tc>
      </w:tr>
      <w:tr w14:paraId="7275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DB0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UDF (PL/pgSQL)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79C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★★★★☆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C26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5C6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10-15 人天</w:t>
            </w:r>
          </w:p>
        </w:tc>
      </w:tr>
      <w:tr w14:paraId="0EC8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4DE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UDF (Python)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38B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★★★☆☆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795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7FD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需环境支持</w:t>
            </w:r>
          </w:p>
        </w:tc>
      </w:tr>
      <w:tr w14:paraId="1002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C1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UDF (Perl)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6C7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★★☆☆☆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208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8EC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需改写</w:t>
            </w:r>
          </w:p>
        </w:tc>
      </w:tr>
      <w:tr w14:paraId="25AF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6A2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 扩展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C24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★☆☆☆☆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66D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0DB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需替代方案</w:t>
            </w:r>
          </w:p>
        </w:tc>
      </w:tr>
    </w:tbl>
    <w:p w14:paraId="063A0AC1">
      <w:pPr>
        <w:spacing w:after="200" w:line="360" w:lineRule="auto"/>
        <w:rPr>
          <w:rFonts w:hint="eastAsia" w:ascii="宋体" w:hAnsi="宋体" w:eastAsia="宋体" w:cs="宋体"/>
        </w:rPr>
      </w:pPr>
    </w:p>
    <w:p w14:paraId="587897DC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4" w:name="_Toc7422"/>
      <w:r>
        <w:rPr>
          <w:rFonts w:hint="eastAsia" w:ascii="宋体" w:hAnsi="宋体" w:eastAsia="宋体" w:cs="宋体"/>
          <w:b/>
          <w:bCs/>
        </w:rPr>
        <w:t>3.1.3 评估工具与方法</w:t>
      </w:r>
      <w:bookmarkEnd w:id="14"/>
    </w:p>
    <w:p w14:paraId="722005E8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兼容性评估采用以下工具和方法：</w:t>
      </w:r>
    </w:p>
    <w:p w14:paraId="3194AAF4">
      <w:pPr>
        <w:pStyle w:val="19"/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华为 UGO 工具：自动化语法兼容性分析，上传 GP DDL 导出文件，生成兼容性报告</w:t>
      </w:r>
    </w:p>
    <w:p w14:paraId="4F62FF20">
      <w:pPr>
        <w:pStyle w:val="19"/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手动评估脚本：统计源端对象数量、UDF 语言类型分布</w:t>
      </w:r>
    </w:p>
    <w:p w14:paraId="4DF7FA60">
      <w:pPr>
        <w:pStyle w:val="19"/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抽样测试：选取代表性对象进行实际验证</w:t>
      </w:r>
    </w:p>
    <w:p w14:paraId="68364884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5061359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15" w:name="_Toc12580"/>
      <w:r>
        <w:rPr>
          <w:rFonts w:hint="eastAsia" w:ascii="宋体" w:hAnsi="宋体" w:eastAsia="宋体" w:cs="宋体"/>
          <w:b/>
          <w:bCs/>
        </w:rPr>
        <w:t>3.2 阶段二：POC 验证（4-8周）</w:t>
      </w:r>
      <w:bookmarkEnd w:id="15"/>
    </w:p>
    <w:p w14:paraId="1C31D227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6" w:name="_Toc26717"/>
      <w:r>
        <w:rPr>
          <w:rFonts w:hint="eastAsia" w:ascii="宋体" w:hAnsi="宋体" w:eastAsia="宋体" w:cs="宋体"/>
          <w:b/>
          <w:bCs/>
        </w:rPr>
        <w:t>3.2.1 环境搭建</w:t>
      </w:r>
      <w:bookmarkEnd w:id="16"/>
    </w:p>
    <w:p w14:paraId="152F4E0B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目标端环境规划如下：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6"/>
        <w:gridCol w:w="3368"/>
        <w:gridCol w:w="1426"/>
        <w:gridCol w:w="2880"/>
      </w:tblGrid>
      <w:tr w14:paraId="09B1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113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组件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973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配置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9CB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B18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用途</w:t>
            </w:r>
          </w:p>
        </w:tc>
      </w:tr>
      <w:tr w14:paraId="6717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E24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CN 节点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2B8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64C/512G/SSD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C8C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0EC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协调节点</w:t>
            </w:r>
          </w:p>
        </w:tc>
      </w:tr>
      <w:tr w14:paraId="11C7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B55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DN 节点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5C1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64C/512G/SSD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B84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BC8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数据节点</w:t>
            </w:r>
          </w:p>
        </w:tc>
      </w:tr>
      <w:tr w14:paraId="75A8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071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 服务器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B64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x86 32C/128G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34F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17B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DataX/DolphinScheduler</w:t>
            </w:r>
          </w:p>
        </w:tc>
      </w:tr>
      <w:tr w14:paraId="035A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6E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备份存储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75B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50TB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F22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30C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数据备份</w:t>
            </w:r>
          </w:p>
        </w:tc>
      </w:tr>
      <w:tr w14:paraId="1800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1EC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监控服务器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D7A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8C/16G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873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CD6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Prometheus/Grafana</w:t>
            </w:r>
          </w:p>
        </w:tc>
      </w:tr>
    </w:tbl>
    <w:p w14:paraId="09F3E910">
      <w:pPr>
        <w:spacing w:after="200" w:line="360" w:lineRule="auto"/>
        <w:rPr>
          <w:rFonts w:hint="eastAsia" w:ascii="宋体" w:hAnsi="宋体" w:eastAsia="宋体" w:cs="宋体"/>
        </w:rPr>
      </w:pPr>
    </w:p>
    <w:p w14:paraId="3157FAEF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7" w:name="_Toc32102"/>
      <w:r>
        <w:rPr>
          <w:rFonts w:hint="eastAsia" w:ascii="宋体" w:hAnsi="宋体" w:eastAsia="宋体" w:cs="宋体"/>
          <w:b/>
          <w:bCs/>
        </w:rPr>
        <w:t>3.2.2 DDL 迁移测试</w:t>
      </w:r>
      <w:bookmarkEnd w:id="17"/>
    </w:p>
    <w:p w14:paraId="453610EC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DDL 迁移采用 pg_dump 导出 + 语法转换 + DWS 执行的流程：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3500"/>
      </w:tblGrid>
      <w:tr w14:paraId="547B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8A2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GP 语法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A5A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DWS 语法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ED0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处理方式</w:t>
            </w:r>
          </w:p>
        </w:tc>
      </w:tr>
      <w:tr w14:paraId="0DA4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14B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 (col)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DCA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 (col)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656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兼容，无需转换</w:t>
            </w:r>
          </w:p>
        </w:tc>
      </w:tr>
      <w:tr w14:paraId="63C7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C12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PARTITION BY RANGE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0C5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PARTITION BY RANGE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F2D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兼容，无需转换</w:t>
            </w:r>
          </w:p>
        </w:tc>
      </w:tr>
      <w:tr w14:paraId="4C56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6F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APPENDONLY=TRUE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A74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需转换为列存/行存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F40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需手动转换</w:t>
            </w:r>
          </w:p>
        </w:tc>
      </w:tr>
      <w:tr w14:paraId="38A9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563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COMPRESSLEVEL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F10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COMPRESS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499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需调整参数</w:t>
            </w:r>
          </w:p>
        </w:tc>
      </w:tr>
      <w:tr w14:paraId="0DE3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830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CHECKSUM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468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默认开启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A30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</w:t>
            </w:r>
          </w:p>
        </w:tc>
      </w:tr>
    </w:tbl>
    <w:p w14:paraId="4A23970D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8" w:name="_Toc3362"/>
      <w:r>
        <w:rPr>
          <w:rFonts w:hint="eastAsia" w:ascii="宋体" w:hAnsi="宋体" w:eastAsia="宋体" w:cs="宋体"/>
          <w:b/>
          <w:bCs/>
        </w:rPr>
        <w:t>3.2.3 数据迁移测试</w:t>
      </w:r>
      <w:bookmarkEnd w:id="18"/>
    </w:p>
    <w:p w14:paraId="5EC0C17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数据迁移采用全量 + 增量的策略：</w:t>
      </w:r>
    </w:p>
    <w:p w14:paraId="5980FFD1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全量迁移：使用华为 DRS 或 DataX 进行历史数据迁移</w:t>
      </w:r>
    </w:p>
    <w:p w14:paraId="2AFCD71B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增量同步：配置 DRS 增量同步或 DataX 定时同步</w:t>
      </w:r>
    </w:p>
    <w:p w14:paraId="1C302D42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数据校验：记录数对比、MD5 抽样校验</w:t>
      </w:r>
    </w:p>
    <w:p w14:paraId="58238135">
      <w:pPr>
        <w:spacing w:after="120" w:line="360" w:lineRule="auto"/>
        <w:ind w:firstLine="240" w:firstLineChars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迁移时间估算：35TB / 100GB/天 ≈ 7 天（全量数据）</w:t>
      </w:r>
    </w:p>
    <w:p w14:paraId="12332BDC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19" w:name="_Toc13463"/>
      <w:r>
        <w:rPr>
          <w:rFonts w:hint="eastAsia" w:ascii="宋体" w:hAnsi="宋体" w:eastAsia="宋体" w:cs="宋体"/>
          <w:b/>
          <w:bCs/>
        </w:rPr>
        <w:t>3.2.4 UDF 迁移测试</w:t>
      </w:r>
      <w:bookmarkEnd w:id="19"/>
    </w:p>
    <w:p w14:paraId="3613493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UDF 迁移是本次迁移的重点和难点，共 1,300 个函数需要迁移：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3500"/>
        <w:gridCol w:w="2000"/>
      </w:tblGrid>
      <w:tr w14:paraId="1028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2C4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UDF 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B59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334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迁移方式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F3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工作量</w:t>
            </w:r>
          </w:p>
        </w:tc>
      </w:tr>
      <w:tr w14:paraId="2DA8D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5AB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PL/pgSQL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02C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约 1,290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594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直接迁移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B9D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 人天</w:t>
            </w:r>
          </w:p>
        </w:tc>
      </w:tr>
      <w:tr w14:paraId="4C48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21C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Python UDF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AFC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56C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需安装 Python 环境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321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 人天</w:t>
            </w:r>
          </w:p>
        </w:tc>
      </w:tr>
      <w:tr w14:paraId="280E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CF8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Perl UDF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1F2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659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改写为 PL/pgSQL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F06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 人天</w:t>
            </w:r>
          </w:p>
        </w:tc>
      </w:tr>
    </w:tbl>
    <w:p w14:paraId="38F82CC6">
      <w:pPr>
        <w:spacing w:after="200" w:line="360" w:lineRule="auto"/>
        <w:rPr>
          <w:rFonts w:hint="eastAsia" w:ascii="宋体" w:hAnsi="宋体" w:eastAsia="宋体" w:cs="宋体"/>
        </w:rPr>
      </w:pPr>
    </w:p>
    <w:p w14:paraId="5AB7BD7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6671BE8C">
      <w:pPr>
        <w:pStyle w:val="4"/>
        <w:spacing w:line="360" w:lineRule="auto"/>
        <w:outlineLvl w:val="2"/>
        <w:rPr>
          <w:rFonts w:hint="eastAsia" w:ascii="宋体" w:hAnsi="宋体" w:eastAsia="宋体" w:cs="宋体"/>
        </w:rPr>
      </w:pPr>
      <w:bookmarkStart w:id="20" w:name="_Toc12455"/>
      <w:r>
        <w:rPr>
          <w:rFonts w:hint="eastAsia" w:ascii="宋体" w:hAnsi="宋体" w:eastAsia="宋体" w:cs="宋体"/>
          <w:b/>
          <w:bCs/>
        </w:rPr>
        <w:t>3.2.5 madlib 替代方案</w:t>
      </w:r>
      <w:bookmarkEnd w:id="20"/>
    </w:p>
    <w:p w14:paraId="425379F8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madlib 是 GP 的机器学习扩展库，DWS 不直接支持，需评估替代方案：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3500"/>
      </w:tblGrid>
      <w:tr w14:paraId="591C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F08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madlib 模块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8AA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F5A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DWS 替代方案</w:t>
            </w:r>
          </w:p>
        </w:tc>
      </w:tr>
      <w:tr w14:paraId="5CB3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AE5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线性回归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32D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madlib.linregr_train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CAC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ML 或 Spark MLlib</w:t>
            </w:r>
          </w:p>
        </w:tc>
      </w:tr>
      <w:tr w14:paraId="004E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3C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逻辑回归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B82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madlib.logregr_train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782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ML 或 Spark MLlib</w:t>
            </w:r>
          </w:p>
        </w:tc>
      </w:tr>
      <w:tr w14:paraId="62E8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938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K-Means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D31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madlib.kmeans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733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ML</w:t>
            </w:r>
          </w:p>
        </w:tc>
      </w:tr>
      <w:tr w14:paraId="4B79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15A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决策树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C1E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madlib.tree_train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133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Spark MLlib</w:t>
            </w:r>
          </w:p>
        </w:tc>
      </w:tr>
      <w:tr w14:paraId="364E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3C0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关联规则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8E9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madlib.assoc_rules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2DA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自定义 UDF</w:t>
            </w:r>
          </w:p>
        </w:tc>
      </w:tr>
    </w:tbl>
    <w:p w14:paraId="3C8430E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093B27D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21" w:name="_Toc16857"/>
      <w:r>
        <w:rPr>
          <w:rFonts w:hint="eastAsia" w:ascii="宋体" w:hAnsi="宋体" w:eastAsia="宋体" w:cs="宋体"/>
          <w:b/>
          <w:bCs/>
        </w:rPr>
        <w:t>3.3 阶段三：正式迁移（8-12周）</w:t>
      </w:r>
      <w:bookmarkEnd w:id="21"/>
    </w:p>
    <w:p w14:paraId="4002540B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2" w:name="_Toc10255"/>
      <w:r>
        <w:rPr>
          <w:rFonts w:hint="eastAsia" w:ascii="宋体" w:hAnsi="宋体" w:eastAsia="宋体" w:cs="宋体"/>
          <w:b/>
          <w:bCs/>
        </w:rPr>
        <w:t>3.3.1 迁移执行计划</w:t>
      </w:r>
      <w:bookmarkEnd w:id="22"/>
    </w:p>
    <w:p w14:paraId="58BB3992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正式迁移按照以下时间线执行：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4500"/>
      </w:tblGrid>
      <w:tr w14:paraId="7712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D4D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周次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26F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工作内容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564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关键里程碑</w:t>
            </w:r>
          </w:p>
        </w:tc>
      </w:tr>
      <w:tr w14:paraId="3EA7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0EF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第1-2周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34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DDL 迁移 + Schema 创建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208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完成所有表结构迁移</w:t>
            </w:r>
          </w:p>
        </w:tc>
      </w:tr>
      <w:tr w14:paraId="216F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390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第3-4周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D28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全量数据迁移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B3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完成 35TB 数据迁移</w:t>
            </w:r>
          </w:p>
        </w:tc>
      </w:tr>
      <w:tr w14:paraId="2C50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0BA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第5-6周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427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UDF 迁移 + 视图迁移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3E1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完成 1,300 个函数迁移</w:t>
            </w:r>
          </w:p>
        </w:tc>
      </w:tr>
      <w:tr w14:paraId="2270F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145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第7-8周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E2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 任务迁移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CBA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完成 Kettle → DataX 转换</w:t>
            </w:r>
          </w:p>
        </w:tc>
      </w:tr>
      <w:tr w14:paraId="5A35A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BC0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第9-10周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5FD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联调测试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962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端到端数据流验证</w:t>
            </w:r>
          </w:p>
        </w:tc>
      </w:tr>
      <w:tr w14:paraId="6B4F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1C4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第11-12周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3A3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预上线演练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CE2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压力测试、回退演练</w:t>
            </w:r>
          </w:p>
        </w:tc>
      </w:tr>
    </w:tbl>
    <w:p w14:paraId="27614637">
      <w:pPr>
        <w:spacing w:after="200" w:line="360" w:lineRule="auto"/>
        <w:rPr>
          <w:rFonts w:hint="eastAsia" w:ascii="宋体" w:hAnsi="宋体" w:eastAsia="宋体" w:cs="宋体"/>
        </w:rPr>
      </w:pPr>
    </w:p>
    <w:p w14:paraId="2E17D900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3" w:name="_Toc27196"/>
      <w:r>
        <w:rPr>
          <w:rFonts w:hint="eastAsia" w:ascii="宋体" w:hAnsi="宋体" w:eastAsia="宋体" w:cs="宋体"/>
          <w:b/>
          <w:bCs/>
        </w:rPr>
        <w:t>3.3.2 数据迁移执行</w:t>
      </w:r>
      <w:bookmarkEnd w:id="23"/>
    </w:p>
    <w:p w14:paraId="3190CF85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数据迁移采用分批次、并行执行策略：</w:t>
      </w:r>
    </w:p>
    <w:p w14:paraId="42899436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按表大小分类：大表（&gt;1TB）、中表（100GB-1TB）、小表（&lt;100GB）</w:t>
      </w:r>
    </w:p>
    <w:p w14:paraId="31F6EB3C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优先迁移小表和中表，快速完成大部分对象迁移</w:t>
      </w:r>
    </w:p>
    <w:p w14:paraId="109D0991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大表采用并行迁移，提高迁移效率</w:t>
      </w:r>
    </w:p>
    <w:p w14:paraId="4EE439F6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迁移完成后进行数据一致性校验</w:t>
      </w:r>
    </w:p>
    <w:p w14:paraId="5340227C">
      <w:pPr>
        <w:spacing w:after="200" w:line="360" w:lineRule="auto"/>
        <w:rPr>
          <w:rFonts w:hint="eastAsia" w:ascii="宋体" w:hAnsi="宋体" w:eastAsia="宋体" w:cs="宋体"/>
        </w:rPr>
      </w:pPr>
    </w:p>
    <w:p w14:paraId="2568FB5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0805AD7C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4" w:name="_Toc16055"/>
      <w:r>
        <w:rPr>
          <w:rFonts w:hint="eastAsia" w:ascii="宋体" w:hAnsi="宋体" w:eastAsia="宋体" w:cs="宋体"/>
          <w:b/>
          <w:bCs/>
        </w:rPr>
        <w:t>3.3.3 ETL 任务迁移</w:t>
      </w:r>
      <w:bookmarkEnd w:id="24"/>
    </w:p>
    <w:p w14:paraId="0733029A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Kettle → DataX 任务转换策略：</w:t>
      </w:r>
    </w:p>
    <w:tbl>
      <w:tblPr>
        <w:tblStyle w:val="14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2500"/>
      </w:tblGrid>
      <w:tr w14:paraId="1848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4D9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Kettle 任务类型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698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DataX 方案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89A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转换难度</w:t>
            </w:r>
          </w:p>
        </w:tc>
      </w:tr>
      <w:tr w14:paraId="1AE4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E2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表输入 → 表输出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31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postgresqlreader + writer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B31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简单</w:t>
            </w:r>
          </w:p>
        </w:tc>
      </w:tr>
      <w:tr w14:paraId="446C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4C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文件输入 → 表输出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659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txtfilereader + writer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DD3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简单</w:t>
            </w:r>
          </w:p>
        </w:tc>
      </w:tr>
      <w:tr w14:paraId="517C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361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表输入 → 文件输出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8F0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reader + txtfilewriter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E3C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简单</w:t>
            </w:r>
          </w:p>
        </w:tc>
      </w:tr>
      <w:tr w14:paraId="38C8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D32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数据转换/清洗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373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DataX 不支持，需前置/后置处理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1AA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复杂</w:t>
            </w:r>
          </w:p>
        </w:tc>
      </w:tr>
      <w:tr w14:paraId="72D0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DFF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多表关联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67B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需改写为 SQL 或拆分任务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E3A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复杂</w:t>
            </w:r>
          </w:p>
        </w:tc>
      </w:tr>
    </w:tbl>
    <w:p w14:paraId="5D0980F7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建议：保留 Kettle 处理复杂 ETL，仅将简单同步任务迁移到 DataX，或采用 DolphinScheduler + DataX 组合方案。</w:t>
      </w:r>
    </w:p>
    <w:p w14:paraId="40590E5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2F8DB05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25" w:name="_Toc17393"/>
      <w:r>
        <w:rPr>
          <w:rFonts w:hint="eastAsia" w:ascii="宋体" w:hAnsi="宋体" w:eastAsia="宋体" w:cs="宋体"/>
          <w:b/>
          <w:bCs/>
        </w:rPr>
        <w:t>3.4 阶段四：割接上线（1-2周）</w:t>
      </w:r>
      <w:bookmarkEnd w:id="25"/>
    </w:p>
    <w:p w14:paraId="23D04922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6" w:name="_Toc28973"/>
      <w:r>
        <w:rPr>
          <w:rFonts w:hint="eastAsia" w:ascii="宋体" w:hAnsi="宋体" w:eastAsia="宋体" w:cs="宋体"/>
          <w:b/>
          <w:bCs/>
        </w:rPr>
        <w:t>3.4.1 割接流程</w:t>
      </w:r>
      <w:bookmarkEnd w:id="26"/>
    </w:p>
    <w:p w14:paraId="0D0937D9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割接上线是迁移的关键环节，需严格按照以下流程执行：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2225"/>
        <w:gridCol w:w="5341"/>
      </w:tblGrid>
      <w:tr w14:paraId="56FF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71B0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8A4B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285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154D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工作内容</w:t>
            </w:r>
          </w:p>
        </w:tc>
      </w:tr>
      <w:tr w14:paraId="0621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1C4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T-7天</w:t>
            </w:r>
          </w:p>
        </w:tc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B72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准备阶段</w:t>
            </w:r>
          </w:p>
        </w:tc>
        <w:tc>
          <w:tcPr>
            <w:tcW w:w="285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2C2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增量同步验证、数据校验、割接演练</w:t>
            </w:r>
          </w:p>
        </w:tc>
      </w:tr>
      <w:tr w14:paraId="7EB95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2FE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T-1天</w:t>
            </w:r>
          </w:p>
        </w:tc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34F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预告阶段</w:t>
            </w:r>
          </w:p>
        </w:tc>
        <w:tc>
          <w:tcPr>
            <w:tcW w:w="285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831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业务方通知、监控配置、应急预案</w:t>
            </w:r>
          </w:p>
        </w:tc>
      </w:tr>
      <w:tr w14:paraId="10DD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F17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T日</w:t>
            </w:r>
          </w:p>
        </w:tc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CE6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割接执行</w:t>
            </w:r>
          </w:p>
        </w:tc>
        <w:tc>
          <w:tcPr>
            <w:tcW w:w="285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B1B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停止写入、最后同步、切换连接、业务验证</w:t>
            </w:r>
          </w:p>
        </w:tc>
      </w:tr>
      <w:tr w14:paraId="1F75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82A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T+1~T+7</w:t>
            </w:r>
          </w:p>
        </w:tc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E11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稳定运行</w:t>
            </w:r>
          </w:p>
        </w:tc>
        <w:tc>
          <w:tcPr>
            <w:tcW w:w="285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BCC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性能监控、问题修复、源端保留</w:t>
            </w:r>
          </w:p>
        </w:tc>
      </w:tr>
    </w:tbl>
    <w:p w14:paraId="08B6B467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7" w:name="_Toc9194"/>
      <w:r>
        <w:rPr>
          <w:rFonts w:hint="eastAsia" w:ascii="宋体" w:hAnsi="宋体" w:eastAsia="宋体" w:cs="宋体"/>
          <w:b/>
          <w:bCs/>
        </w:rPr>
        <w:t>3.4.2 割接当日详细时间表</w:t>
      </w:r>
      <w:bookmarkEnd w:id="27"/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4452"/>
        <w:gridCol w:w="2671"/>
      </w:tblGrid>
      <w:tr w14:paraId="60C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993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时间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B39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操作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AF6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负责人</w:t>
            </w:r>
          </w:p>
        </w:tc>
      </w:tr>
      <w:tr w14:paraId="4CDB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E1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00:00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F02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停止源端 GP 所有业务写入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59D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</w:tr>
      <w:tr w14:paraId="6B96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A0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00:30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7B4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执行最后一次增量数据同步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2D9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乙方</w:t>
            </w:r>
          </w:p>
        </w:tc>
      </w:tr>
      <w:tr w14:paraId="0091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7A9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02:00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23D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数据一致性最终校验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56A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双方</w:t>
            </w:r>
          </w:p>
        </w:tc>
      </w:tr>
      <w:tr w14:paraId="5449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5FD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03:00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7B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切换应用连接至 DWS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B60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</w:tr>
      <w:tr w14:paraId="6DA4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EEA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04:00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1DC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业务验证测试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47E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</w:tr>
      <w:tr w14:paraId="2816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C8C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06:00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CE2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开放业务访问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4DB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</w:t>
            </w:r>
          </w:p>
        </w:tc>
      </w:tr>
      <w:tr w14:paraId="0D7F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B3F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全天</w:t>
            </w:r>
          </w:p>
        </w:tc>
        <w:tc>
          <w:tcPr>
            <w:tcW w:w="238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243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监控与应急响应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56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双方</w:t>
            </w:r>
          </w:p>
        </w:tc>
      </w:tr>
    </w:tbl>
    <w:p w14:paraId="4A122BD9">
      <w:pPr>
        <w:spacing w:after="200" w:line="360" w:lineRule="auto"/>
        <w:rPr>
          <w:rFonts w:hint="eastAsia" w:ascii="宋体" w:hAnsi="宋体" w:eastAsia="宋体" w:cs="宋体"/>
        </w:rPr>
      </w:pPr>
    </w:p>
    <w:p w14:paraId="7574040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br w:type="page"/>
      </w:r>
    </w:p>
    <w:p w14:paraId="43C5E058">
      <w:pPr>
        <w:pStyle w:val="4"/>
        <w:spacing w:line="360" w:lineRule="auto"/>
        <w:rPr>
          <w:rFonts w:hint="eastAsia" w:ascii="宋体" w:hAnsi="宋体" w:eastAsia="宋体" w:cs="宋体"/>
        </w:rPr>
      </w:pPr>
      <w:bookmarkStart w:id="28" w:name="_Toc18642"/>
      <w:r>
        <w:rPr>
          <w:rFonts w:hint="eastAsia" w:ascii="宋体" w:hAnsi="宋体" w:eastAsia="宋体" w:cs="宋体"/>
          <w:b/>
          <w:bCs/>
        </w:rPr>
        <w:t>3.4.3 回退方案</w:t>
      </w:r>
      <w:bookmarkEnd w:id="28"/>
    </w:p>
    <w:p w14:paraId="6B4F3B8C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为确保迁移安全，制定完善的回退方案：</w:t>
      </w:r>
    </w:p>
    <w:p w14:paraId="796EA200">
      <w:pPr>
        <w:numPr>
          <w:ilvl w:val="0"/>
          <w:numId w:val="4"/>
        </w:numPr>
        <w:spacing w:after="120" w:line="36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回退触发条件：</w:t>
      </w:r>
    </w:p>
    <w:p w14:paraId="6DA9F52F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关键业务功能异常超过 2 小时无法修复</w:t>
      </w:r>
    </w:p>
    <w:p w14:paraId="024E83F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数据一致性异常无法修复</w:t>
      </w:r>
    </w:p>
    <w:p w14:paraId="1C0AB840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性能下降超过 50% 且无法优化</w:t>
      </w:r>
    </w:p>
    <w:p w14:paraId="18ED4EB6">
      <w:pPr>
        <w:numPr>
          <w:ilvl w:val="0"/>
          <w:numId w:val="4"/>
        </w:numPr>
        <w:spacing w:after="120" w:line="36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回退步骤：</w:t>
      </w:r>
    </w:p>
    <w:p w14:paraId="79FD70E2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停止 DWS 业务访问</w:t>
      </w:r>
    </w:p>
    <w:p w14:paraId="2BA5F690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切换应用连接回 GP</w:t>
      </w:r>
    </w:p>
    <w:p w14:paraId="52C90CD0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恢复 GP 业务访问</w:t>
      </w:r>
    </w:p>
    <w:p w14:paraId="7565CAB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同步 DWS 增量数据回 GP（如有）</w:t>
      </w:r>
    </w:p>
    <w:p w14:paraId="2CC96FA7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业务验证</w:t>
      </w:r>
    </w:p>
    <w:p w14:paraId="1AA2F40C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回退时间窗口：&lt; 2 小时</w:t>
      </w:r>
    </w:p>
    <w:p w14:paraId="1C57D126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7135B08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29" w:name="_Toc7534"/>
      <w:r>
        <w:rPr>
          <w:rFonts w:hint="eastAsia" w:ascii="宋体" w:hAnsi="宋体" w:eastAsia="宋体" w:cs="宋体"/>
          <w:b/>
          <w:bCs/>
        </w:rPr>
        <w:t>四、风险管理与应急预案</w:t>
      </w:r>
      <w:bookmarkEnd w:id="29"/>
    </w:p>
    <w:tbl>
      <w:tblPr>
        <w:tblStyle w:val="14"/>
        <w:tblpPr w:leftFromText="180" w:rightFromText="180" w:vertAnchor="text" w:horzAnchor="page" w:tblpX="1549" w:tblpY="809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1780"/>
        <w:gridCol w:w="1780"/>
        <w:gridCol w:w="2670"/>
      </w:tblGrid>
      <w:tr w14:paraId="727C1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494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风险项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A93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风险等级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19F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影响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7BC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应对措施</w:t>
            </w:r>
          </w:p>
        </w:tc>
      </w:tr>
      <w:tr w14:paraId="19F7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D7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UDF 兼容性问题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823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高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CA4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迁移延期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978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阶段充分验证，预留缓冲时间</w:t>
            </w:r>
          </w:p>
        </w:tc>
      </w:tr>
      <w:tr w14:paraId="23CF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F06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madlib 无替代方案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89C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高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1B1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功能缺失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CB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提前确认使用场景，准备替代方案</w:t>
            </w:r>
          </w:p>
        </w:tc>
      </w:tr>
      <w:tr w14:paraId="7D32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93E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数据迁移超时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EB0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77C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割接延期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234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增量同步策略，分批迁移</w:t>
            </w:r>
          </w:p>
        </w:tc>
      </w:tr>
      <w:tr w14:paraId="7E9C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29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性能不达标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4D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C9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业务影响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AAA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充分压测，参数调优</w:t>
            </w:r>
          </w:p>
        </w:tc>
      </w:tr>
      <w:tr w14:paraId="278E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630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鲲鹏兼容性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28F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中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AD9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功能异常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10F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阶段全面验证</w:t>
            </w:r>
          </w:p>
        </w:tc>
      </w:tr>
      <w:tr w14:paraId="0C98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7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F72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回退失败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308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高</w:t>
            </w:r>
          </w:p>
        </w:tc>
        <w:tc>
          <w:tcPr>
            <w:tcW w:w="95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DFF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业务中断</w:t>
            </w:r>
          </w:p>
        </w:tc>
        <w:tc>
          <w:tcPr>
            <w:tcW w:w="1428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CBC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多重备份，演练验证</w:t>
            </w:r>
          </w:p>
        </w:tc>
      </w:tr>
    </w:tbl>
    <w:p w14:paraId="2A3F3CA4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0" w:name="_Toc9617"/>
      <w:r>
        <w:rPr>
          <w:rFonts w:hint="eastAsia" w:ascii="宋体" w:hAnsi="宋体" w:eastAsia="宋体" w:cs="宋体"/>
          <w:b/>
          <w:bCs/>
        </w:rPr>
        <w:t>4.1 风险清单</w:t>
      </w:r>
      <w:bookmarkEnd w:id="30"/>
    </w:p>
    <w:p w14:paraId="0E1611C8">
      <w:pPr>
        <w:spacing w:after="200" w:line="360" w:lineRule="auto"/>
        <w:rPr>
          <w:rFonts w:hint="eastAsia" w:ascii="宋体" w:hAnsi="宋体" w:eastAsia="宋体" w:cs="宋体"/>
        </w:rPr>
      </w:pPr>
    </w:p>
    <w:p w14:paraId="29487E09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1" w:name="_Toc19316"/>
      <w:r>
        <w:rPr>
          <w:rFonts w:hint="eastAsia" w:ascii="宋体" w:hAnsi="宋体" w:eastAsia="宋体" w:cs="宋体"/>
          <w:b/>
          <w:bCs/>
        </w:rPr>
        <w:t>4.2 应急响应流程</w:t>
      </w:r>
      <w:bookmarkEnd w:id="31"/>
    </w:p>
    <w:p w14:paraId="1220AE6F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建立快速响应机制，确保问题及时发现和处理：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4"/>
        <w:gridCol w:w="2459"/>
        <w:gridCol w:w="3445"/>
      </w:tblGrid>
      <w:tr w14:paraId="5363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ADD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环节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227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时间要求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A3A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负责人</w:t>
            </w:r>
          </w:p>
        </w:tc>
      </w:tr>
      <w:tr w14:paraId="7116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3A5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发现问题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685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15分钟内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AD6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监控系统/值班人员</w:t>
            </w:r>
          </w:p>
        </w:tc>
      </w:tr>
      <w:tr w14:paraId="1254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F1F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评估影响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AF4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30分钟内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140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技术负责人</w:t>
            </w:r>
          </w:p>
        </w:tc>
      </w:tr>
      <w:tr w14:paraId="7C46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0B0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启动应急预案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C39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立即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900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项目经理</w:t>
            </w:r>
          </w:p>
        </w:tc>
      </w:tr>
      <w:tr w14:paraId="5E7D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D9D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执行修复/回退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EE1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2小时内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F1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技术团队</w:t>
            </w:r>
          </w:p>
        </w:tc>
      </w:tr>
      <w:tr w14:paraId="5E89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D63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验证恢复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32F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1小时内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9BE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测试团队</w:t>
            </w:r>
          </w:p>
        </w:tc>
      </w:tr>
      <w:tr w14:paraId="7480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992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总结复盘</w:t>
            </w:r>
          </w:p>
        </w:tc>
        <w:tc>
          <w:tcPr>
            <w:tcW w:w="131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BDB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24小时内</w:t>
            </w:r>
          </w:p>
        </w:tc>
        <w:tc>
          <w:tcPr>
            <w:tcW w:w="18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B30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项目组</w:t>
            </w:r>
          </w:p>
        </w:tc>
      </w:tr>
    </w:tbl>
    <w:p w14:paraId="16B2543D">
      <w:pPr>
        <w:spacing w:after="200" w:line="360" w:lineRule="auto"/>
        <w:rPr>
          <w:rFonts w:hint="eastAsia" w:ascii="宋体" w:hAnsi="宋体" w:eastAsia="宋体" w:cs="宋体"/>
        </w:rPr>
      </w:pPr>
    </w:p>
    <w:p w14:paraId="06286CCE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2" w:name="_Toc28245"/>
      <w:r>
        <w:rPr>
          <w:rFonts w:hint="eastAsia" w:ascii="宋体" w:hAnsi="宋体" w:eastAsia="宋体" w:cs="宋体"/>
          <w:b/>
          <w:bCs/>
        </w:rPr>
        <w:t>4.3 关键保障措施</w:t>
      </w:r>
      <w:bookmarkEnd w:id="32"/>
    </w:p>
    <w:p w14:paraId="574FEB4D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源端环境保留至少 1 个月，确保可随时回退</w:t>
      </w:r>
    </w:p>
    <w:p w14:paraId="54861B97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每日增量同步状态检查，确保数据同步稳定</w:t>
      </w:r>
    </w:p>
    <w:p w14:paraId="7BE8432C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割接前进行至少 2 次完整演练</w:t>
      </w:r>
    </w:p>
    <w:p w14:paraId="6CF83E8D">
      <w:pPr>
        <w:pStyle w:val="19"/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建立 7×24 小时值班机制</w:t>
      </w:r>
    </w:p>
    <w:p w14:paraId="42081140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CF68164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33" w:name="_Toc6598"/>
      <w:r>
        <w:rPr>
          <w:rFonts w:hint="eastAsia" w:ascii="宋体" w:hAnsi="宋体" w:eastAsia="宋体" w:cs="宋体"/>
          <w:b/>
          <w:bCs/>
        </w:rPr>
        <w:t>五、资源需求</w:t>
      </w:r>
      <w:bookmarkEnd w:id="33"/>
    </w:p>
    <w:p w14:paraId="422187BD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4" w:name="_Toc9762"/>
      <w:r>
        <w:rPr>
          <w:rFonts w:hint="eastAsia" w:ascii="宋体" w:hAnsi="宋体" w:eastAsia="宋体" w:cs="宋体"/>
          <w:b/>
          <w:bCs/>
        </w:rPr>
        <w:t>5.1 硬件资源</w:t>
      </w:r>
      <w:bookmarkEnd w:id="34"/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0"/>
        <w:gridCol w:w="2893"/>
        <w:gridCol w:w="1165"/>
        <w:gridCol w:w="2880"/>
      </w:tblGrid>
      <w:tr w14:paraId="5F7D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3F9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角色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225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配置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456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81C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用途</w:t>
            </w:r>
          </w:p>
        </w:tc>
      </w:tr>
      <w:tr w14:paraId="22DB6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53E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CN 节点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04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64C/512G/SSD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D28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429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协调节点</w:t>
            </w:r>
          </w:p>
        </w:tc>
      </w:tr>
      <w:tr w14:paraId="4C3C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282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DN 节点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C42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鲲鹏 64C/512G/SSD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821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6+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889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数据节点</w:t>
            </w:r>
          </w:p>
        </w:tc>
      </w:tr>
      <w:tr w14:paraId="4E91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FC5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 服务器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72D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x86 32C/128G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35C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563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DataX/DolphinScheduler</w:t>
            </w:r>
          </w:p>
        </w:tc>
      </w:tr>
      <w:tr w14:paraId="0E084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79D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备份存储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B65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50TB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1E5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02E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数据备份</w:t>
            </w:r>
          </w:p>
        </w:tc>
      </w:tr>
      <w:tr w14:paraId="3F90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5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8EF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监控服务器</w:t>
            </w:r>
          </w:p>
        </w:tc>
        <w:tc>
          <w:tcPr>
            <w:tcW w:w="1603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886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8C/16G</w:t>
            </w:r>
          </w:p>
        </w:tc>
        <w:tc>
          <w:tcPr>
            <w:tcW w:w="679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19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1371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5AF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Prometheus/Grafana</w:t>
            </w:r>
          </w:p>
        </w:tc>
      </w:tr>
    </w:tbl>
    <w:p w14:paraId="0E92635D">
      <w:pPr>
        <w:spacing w:after="200" w:line="360" w:lineRule="auto"/>
        <w:rPr>
          <w:rFonts w:hint="eastAsia" w:ascii="宋体" w:hAnsi="宋体" w:eastAsia="宋体" w:cs="宋体"/>
        </w:rPr>
      </w:pPr>
    </w:p>
    <w:p w14:paraId="247B5088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5" w:name="_Toc13365"/>
      <w:r>
        <w:rPr>
          <w:rFonts w:hint="eastAsia" w:ascii="宋体" w:hAnsi="宋体" w:eastAsia="宋体" w:cs="宋体"/>
          <w:b/>
          <w:bCs/>
        </w:rPr>
        <w:t>5.2 人力资源</w:t>
      </w:r>
      <w:bookmarkEnd w:id="35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4"/>
        <w:gridCol w:w="1403"/>
        <w:gridCol w:w="5143"/>
      </w:tblGrid>
      <w:tr w14:paraId="2635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1D2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角色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6B2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人数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5EB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职责</w:t>
            </w:r>
          </w:p>
        </w:tc>
      </w:tr>
      <w:tr w14:paraId="39A3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941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项目经理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280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870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项目管理、协调、进度把控</w:t>
            </w:r>
          </w:p>
        </w:tc>
      </w:tr>
      <w:tr w14:paraId="0A60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F8A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数据库专家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E15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D60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架构设计、迁移实施、性能优化</w:t>
            </w:r>
          </w:p>
        </w:tc>
      </w:tr>
      <w:tr w14:paraId="160C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CA2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 工程师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EB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10D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数据采集任务迁移、调度配置</w:t>
            </w:r>
          </w:p>
        </w:tc>
      </w:tr>
      <w:tr w14:paraId="3D40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C4C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测试工程师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DAC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2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454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功能测试、性能测试、数据校验</w:t>
            </w:r>
          </w:p>
        </w:tc>
      </w:tr>
      <w:tr w14:paraId="3E9D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600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运维工程师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ED6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4BA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环境搭建、监控配置、应急响应</w:t>
            </w:r>
          </w:p>
        </w:tc>
      </w:tr>
      <w:tr w14:paraId="4449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F50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业务专家</w:t>
            </w:r>
          </w:p>
        </w:tc>
        <w:tc>
          <w:tcPr>
            <w:tcW w:w="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02E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1</w:t>
            </w:r>
          </w:p>
        </w:tc>
        <w:tc>
          <w:tcPr>
            <w:tcW w:w="275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5C0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业务逻辑验证、需求确认</w:t>
            </w:r>
          </w:p>
        </w:tc>
      </w:tr>
    </w:tbl>
    <w:p w14:paraId="7CBA737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3997466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36" w:name="_Toc4857"/>
      <w:r>
        <w:rPr>
          <w:rFonts w:hint="eastAsia" w:ascii="宋体" w:hAnsi="宋体" w:eastAsia="宋体" w:cs="宋体"/>
          <w:b/>
          <w:bCs/>
        </w:rPr>
        <w:t>六、交付物清单</w:t>
      </w:r>
      <w:bookmarkEnd w:id="36"/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3116"/>
        <w:gridCol w:w="4006"/>
      </w:tblGrid>
      <w:tr w14:paraId="1777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7D0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阶段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AFF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交付物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547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内容说明</w:t>
            </w:r>
          </w:p>
        </w:tc>
      </w:tr>
      <w:tr w14:paraId="228B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0A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评估规划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FBE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需求调研报告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CAA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业务需求、技术需求、约束条件</w:t>
            </w:r>
          </w:p>
        </w:tc>
      </w:tr>
      <w:tr w14:paraId="0DB5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1D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评估规划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3F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兼容性评估报告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B83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语法兼容性、功能差异分析</w:t>
            </w:r>
          </w:p>
        </w:tc>
      </w:tr>
      <w:tr w14:paraId="18BC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5F7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评估规划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10D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迁移方案设计文档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91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本文档</w:t>
            </w:r>
          </w:p>
        </w:tc>
      </w:tr>
      <w:tr w14:paraId="3327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CC1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验证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0C4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测试报告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F99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测试用例、测试结果、问题清单</w:t>
            </w:r>
          </w:p>
        </w:tc>
      </w:tr>
      <w:tr w14:paraId="2DE9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F6A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验证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262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性能测试报告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E95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性能对比、调优建议</w:t>
            </w:r>
          </w:p>
        </w:tc>
      </w:tr>
      <w:tr w14:paraId="5BD4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53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POC 验证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6A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DDL 转换脚本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B7C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自动化转换工具</w:t>
            </w:r>
          </w:p>
        </w:tc>
      </w:tr>
      <w:tr w14:paraId="0279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ADF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正式迁移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FCE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迁移执行记录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03A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迁移日志、问题记录</w:t>
            </w:r>
          </w:p>
        </w:tc>
      </w:tr>
      <w:tr w14:paraId="05F9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8D7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正式迁移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D02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数据校验报告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2E2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数据一致性验证结果</w:t>
            </w:r>
          </w:p>
        </w:tc>
      </w:tr>
      <w:tr w14:paraId="72A8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15A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正式迁移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560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ETL 任务清单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C11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任务映射关系、配置文档</w:t>
            </w:r>
          </w:p>
        </w:tc>
      </w:tr>
      <w:tr w14:paraId="4DA23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82F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割接上线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275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割接方案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F9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详细操作步骤、时间表</w:t>
            </w:r>
          </w:p>
        </w:tc>
      </w:tr>
      <w:tr w14:paraId="6128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32F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割接上线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1BF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回退方案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865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回退条件、回退步骤</w:t>
            </w:r>
          </w:p>
        </w:tc>
      </w:tr>
      <w:tr w14:paraId="4D1B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DAE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割接上线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63D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运维手册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38E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日常运维、监控告警</w:t>
            </w:r>
          </w:p>
        </w:tc>
      </w:tr>
      <w:tr w14:paraId="4645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985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割接上线</w:t>
            </w:r>
          </w:p>
        </w:tc>
        <w:tc>
          <w:tcPr>
            <w:tcW w:w="1666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049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培训文档</w:t>
            </w:r>
          </w:p>
        </w:tc>
        <w:tc>
          <w:tcPr>
            <w:tcW w:w="2142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092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用户培训材料</w:t>
            </w:r>
          </w:p>
        </w:tc>
      </w:tr>
    </w:tbl>
    <w:p w14:paraId="28506042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D6AFF3B">
      <w:pPr>
        <w:pStyle w:val="2"/>
        <w:spacing w:line="360" w:lineRule="auto"/>
        <w:rPr>
          <w:rFonts w:hint="eastAsia" w:ascii="宋体" w:hAnsi="宋体" w:eastAsia="宋体" w:cs="宋体"/>
        </w:rPr>
      </w:pPr>
      <w:bookmarkStart w:id="37" w:name="_Toc13410"/>
      <w:r>
        <w:rPr>
          <w:rFonts w:hint="eastAsia" w:ascii="宋体" w:hAnsi="宋体" w:eastAsia="宋体" w:cs="宋体"/>
          <w:b/>
          <w:bCs/>
        </w:rPr>
        <w:t>七、关键建议</w:t>
      </w:r>
      <w:bookmarkEnd w:id="37"/>
    </w:p>
    <w:p w14:paraId="503F8ED8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8" w:name="_Toc19706"/>
      <w:r>
        <w:rPr>
          <w:rFonts w:hint="eastAsia" w:ascii="宋体" w:hAnsi="宋体" w:eastAsia="宋体" w:cs="宋体"/>
          <w:b/>
          <w:bCs/>
        </w:rPr>
        <w:t>7.1 必须要做的</w:t>
      </w:r>
      <w:bookmarkEnd w:id="38"/>
    </w:p>
    <w:p w14:paraId="78E0C2B9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POC 阶段充分验证 UDF 兼容性：抽样 100+ 函数进行实际测试，确保迁移可行</w:t>
      </w:r>
    </w:p>
    <w:p w14:paraId="1E11BCC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提前确定 madlib 替代方案：与业务方确认机器学习功能使用场景，选择合适的替代方案</w:t>
      </w:r>
    </w:p>
    <w:p w14:paraId="1CEBC5F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增量同步方案必须稳定运行：正式迁移前，增量同步需连续稳定运行 1 周以上</w:t>
      </w:r>
    </w:p>
    <w:p w14:paraId="105F2505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保留源端环境至少 1 个月：确保在出现问题时可以快速回退</w:t>
      </w:r>
    </w:p>
    <w:p w14:paraId="50443622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完整的回退演练：割接前进行至少 2 次完整的回退演练</w:t>
      </w:r>
    </w:p>
    <w:p w14:paraId="4B0FBABC">
      <w:pPr>
        <w:spacing w:after="200" w:line="360" w:lineRule="auto"/>
        <w:rPr>
          <w:rFonts w:hint="eastAsia" w:ascii="宋体" w:hAnsi="宋体" w:eastAsia="宋体" w:cs="宋体"/>
        </w:rPr>
      </w:pPr>
    </w:p>
    <w:p w14:paraId="13AFEF23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39" w:name="_Toc10988"/>
      <w:r>
        <w:rPr>
          <w:rFonts w:hint="eastAsia" w:ascii="宋体" w:hAnsi="宋体" w:eastAsia="宋体" w:cs="宋体"/>
          <w:b/>
          <w:bCs/>
        </w:rPr>
        <w:t>7.2 建议考虑的</w:t>
      </w:r>
      <w:bookmarkEnd w:id="39"/>
    </w:p>
    <w:p w14:paraId="295821EF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保留 Kettle 处理复杂 ETL，仅将简单同步任务迁移到 DataX</w:t>
      </w:r>
    </w:p>
    <w:p w14:paraId="64603AD5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评估 DolphinScheduler 作为统一调度平台，替代自研调度系统</w:t>
      </w:r>
    </w:p>
    <w:p w14:paraId="52548DF6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使用华为 DRS 简化数据迁移工作，减少手动操作</w:t>
      </w:r>
    </w:p>
    <w:p w14:paraId="08D4D887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分阶段迁移，先迁移非核心业务进行验证，再迁移核心业务</w:t>
      </w:r>
    </w:p>
    <w:p w14:paraId="1C8C0C2F">
      <w:pPr>
        <w:spacing w:after="200" w:line="360" w:lineRule="auto"/>
        <w:rPr>
          <w:rFonts w:hint="eastAsia" w:ascii="宋体" w:hAnsi="宋体" w:eastAsia="宋体" w:cs="宋体"/>
        </w:rPr>
      </w:pPr>
    </w:p>
    <w:p w14:paraId="78A42128">
      <w:pPr>
        <w:pStyle w:val="3"/>
        <w:spacing w:line="360" w:lineRule="auto"/>
        <w:rPr>
          <w:rFonts w:hint="eastAsia" w:ascii="宋体" w:hAnsi="宋体" w:eastAsia="宋体" w:cs="宋体"/>
        </w:rPr>
      </w:pPr>
      <w:bookmarkStart w:id="40" w:name="_Toc32597"/>
      <w:r>
        <w:rPr>
          <w:rFonts w:hint="eastAsia" w:ascii="宋体" w:hAnsi="宋体" w:eastAsia="宋体" w:cs="宋体"/>
          <w:b/>
          <w:bCs/>
        </w:rPr>
        <w:t>7.3 需要避免的</w:t>
      </w:r>
      <w:bookmarkEnd w:id="40"/>
    </w:p>
    <w:p w14:paraId="3E22532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</w:rPr>
        <w:t>未充分测试直接割接</w:t>
      </w:r>
      <w:r>
        <w:rPr>
          <w:rFonts w:hint="eastAsia" w:ascii="宋体" w:hAnsi="宋体" w:eastAsia="宋体" w:cs="宋体"/>
        </w:rPr>
        <w:t>：这是导致迁移失败的最常见原因</w:t>
      </w:r>
    </w:p>
    <w:p w14:paraId="22FC09B8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</w:rPr>
        <w:t>没有回退方案</w:t>
      </w:r>
      <w:r>
        <w:rPr>
          <w:rFonts w:hint="eastAsia" w:ascii="宋体" w:hAnsi="宋体" w:eastAsia="宋体" w:cs="宋体"/>
        </w:rPr>
        <w:t>：一旦出现问题，将陷入被动</w:t>
      </w:r>
    </w:p>
    <w:p w14:paraId="5B182D84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</w:rPr>
        <w:t>割接窗口选择业务高峰期</w:t>
      </w:r>
      <w:r>
        <w:rPr>
          <w:rFonts w:hint="eastAsia" w:ascii="宋体" w:hAnsi="宋体" w:eastAsia="宋体" w:cs="宋体"/>
        </w:rPr>
        <w:t>：增加业务风险</w:t>
      </w:r>
    </w:p>
    <w:p w14:paraId="63440B93">
      <w:pPr>
        <w:pStyle w:val="19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FF0000"/>
        </w:rPr>
        <w:t>忽略数据一致性校验</w:t>
      </w:r>
      <w:r>
        <w:rPr>
          <w:rFonts w:hint="eastAsia" w:ascii="宋体" w:hAnsi="宋体" w:eastAsia="宋体" w:cs="宋体"/>
        </w:rPr>
        <w:t>：可能导致业务数据错误</w:t>
      </w:r>
    </w:p>
    <w:p w14:paraId="237CEF39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5B7A091">
      <w:pPr>
        <w:pStyle w:val="2"/>
        <w:spacing w:line="360" w:lineRule="auto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附录</w:t>
      </w:r>
    </w:p>
    <w:p w14:paraId="1DE0337D">
      <w:pPr>
        <w:pStyle w:val="3"/>
        <w:spacing w:line="360" w:lineRule="auto"/>
        <w:outlineLvl w:val="0"/>
        <w:rPr>
          <w:rFonts w:hint="eastAsia" w:ascii="宋体" w:hAnsi="宋体" w:eastAsia="宋体" w:cs="宋体"/>
        </w:rPr>
      </w:pPr>
      <w:bookmarkStart w:id="41" w:name="_Toc18185"/>
      <w:r>
        <w:rPr>
          <w:rFonts w:hint="eastAsia" w:ascii="宋体" w:hAnsi="宋体" w:eastAsia="宋体" w:cs="宋体"/>
          <w:b/>
          <w:bCs/>
        </w:rPr>
        <w:t>附录A：GP 与 DWS 语法差异对照表</w:t>
      </w:r>
      <w:bookmarkEnd w:id="41"/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6"/>
        <w:gridCol w:w="2974"/>
        <w:gridCol w:w="3120"/>
        <w:gridCol w:w="1960"/>
      </w:tblGrid>
      <w:tr w14:paraId="371C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605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B2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GP 语法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A3A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DWS 语法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C4A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3A8B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318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分布键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4A9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F80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B75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语法相同</w:t>
            </w:r>
          </w:p>
        </w:tc>
      </w:tr>
      <w:tr w14:paraId="14D8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9ED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哈希分布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875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HASH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FF5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 HASH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2E3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</w:t>
            </w:r>
          </w:p>
        </w:tc>
      </w:tr>
      <w:tr w14:paraId="05FB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8F6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随机分布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620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RANDOMLY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511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 ROUNDROBIN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F9D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</w:t>
            </w:r>
          </w:p>
        </w:tc>
      </w:tr>
      <w:tr w14:paraId="702E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7A9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复制表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02C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REPLICATED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C7D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DISTRIBUTED BY REPLICATION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8F0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</w:t>
            </w:r>
          </w:p>
        </w:tc>
      </w:tr>
      <w:tr w14:paraId="6A34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C21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列存表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900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APPENDONLY=TRUE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C26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WITH(ORIENTATION=COLUMN)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6F6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</w:t>
            </w:r>
          </w:p>
        </w:tc>
      </w:tr>
      <w:tr w14:paraId="0270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268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压缩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69F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COMPRESSLEVEL=5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937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COMPRESS(MIDDLE)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024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需转换参数</w:t>
            </w:r>
          </w:p>
        </w:tc>
      </w:tr>
      <w:tr w14:paraId="0ED1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194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分区表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223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PARTITION BY RANGE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D2F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PARTITION BY RANGE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EA2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语法相同</w:t>
            </w:r>
          </w:p>
        </w:tc>
      </w:tr>
    </w:tbl>
    <w:p w14:paraId="7B6E7C1E">
      <w:pPr>
        <w:pStyle w:val="3"/>
        <w:spacing w:line="360" w:lineRule="auto"/>
        <w:outlineLvl w:val="0"/>
        <w:rPr>
          <w:rFonts w:hint="eastAsia" w:ascii="宋体" w:hAnsi="宋体" w:eastAsia="宋体" w:cs="宋体"/>
        </w:rPr>
      </w:pPr>
      <w:bookmarkStart w:id="42" w:name="_Toc12815"/>
      <w:r>
        <w:rPr>
          <w:rFonts w:hint="eastAsia" w:ascii="宋体" w:hAnsi="宋体" w:eastAsia="宋体" w:cs="宋体"/>
          <w:b/>
          <w:bCs/>
        </w:rPr>
        <w:t>附录B：常用数据类型对照表</w:t>
      </w:r>
      <w:bookmarkEnd w:id="42"/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3500"/>
      </w:tblGrid>
      <w:tr w14:paraId="56E0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C48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GP 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D4B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DWS 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848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兼容性</w:t>
            </w:r>
          </w:p>
        </w:tc>
      </w:tr>
      <w:tr w14:paraId="5811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D6B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B4E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E01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5565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60A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bigint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575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bigint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6CF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7031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A57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numeric(p,s)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32A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numeric(p,s)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591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4D5D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19D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varchar(n)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EDA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varchar(n)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643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4F43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955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text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EB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text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8E3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3E50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511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082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383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15BE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FB8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7D1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6B9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6AC1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AE8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B68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81F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55A1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6F0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bytea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8F0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bytea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E3A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完全兼容</w:t>
            </w:r>
          </w:p>
        </w:tc>
      </w:tr>
      <w:tr w14:paraId="3042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0BC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json/jsonb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734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json/jsonb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655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DWS 8.2+ 支持</w:t>
            </w:r>
          </w:p>
        </w:tc>
      </w:tr>
    </w:tbl>
    <w:p w14:paraId="6AF35DB7">
      <w:pPr>
        <w:pStyle w:val="3"/>
        <w:spacing w:line="360" w:lineRule="auto"/>
        <w:outlineLvl w:val="0"/>
        <w:rPr>
          <w:rFonts w:hint="eastAsia" w:ascii="宋体" w:hAnsi="宋体" w:eastAsia="宋体" w:cs="宋体"/>
        </w:rPr>
      </w:pPr>
      <w:bookmarkStart w:id="43" w:name="_Toc14283"/>
      <w:r>
        <w:rPr>
          <w:rFonts w:hint="eastAsia" w:ascii="宋体" w:hAnsi="宋体" w:eastAsia="宋体" w:cs="宋体"/>
          <w:b/>
          <w:bCs/>
        </w:rPr>
        <w:t>附录C：联系人信息</w:t>
      </w:r>
      <w:bookmarkEnd w:id="43"/>
    </w:p>
    <w:p w14:paraId="06D37C65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（此部分由项目组填写）</w:t>
      </w:r>
    </w:p>
    <w:tbl>
      <w:tblPr>
        <w:tblStyle w:val="14"/>
        <w:tblW w:w="10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3000"/>
        <w:gridCol w:w="2500"/>
      </w:tblGrid>
      <w:tr w14:paraId="2C32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774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角色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BBC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姓名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D39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联系方式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2C2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备注</w:t>
            </w:r>
          </w:p>
        </w:tc>
      </w:tr>
      <w:tr w14:paraId="7F312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F65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项目经理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65C9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F894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B256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53F4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542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技术负责人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4199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8CE4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FA85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7ADA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14E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甲方对接人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56B8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AD79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B7EF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3EE9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FC9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乙方对接人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6B6D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7BC4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0A38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  <w:tr w14:paraId="09A7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1D9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应急联系人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C368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2778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DC22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280EDD12">
      <w:pPr>
        <w:spacing w:after="400" w:line="360" w:lineRule="auto"/>
        <w:rPr>
          <w:rFonts w:hint="eastAsia" w:ascii="宋体" w:hAnsi="宋体" w:eastAsia="宋体" w:cs="宋体"/>
        </w:rPr>
      </w:pPr>
    </w:p>
    <w:p w14:paraId="5037DD10">
      <w:pPr>
        <w:spacing w:line="360" w:lineRule="auto"/>
        <w:jc w:val="center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4B1A1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FDA19">
    <w:r>
      <w:rPr>
        <w:color w:val="808080"/>
        <w:sz w:val="20"/>
        <w:szCs w:val="20"/>
      </w:rPr>
      <w:t>Greenplum 5.23 → GaussDB(DWS) 8.2.1 迁移方案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4C596"/>
    <w:multiLevelType w:val="singleLevel"/>
    <w:tmpl w:val="8FB4C59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0C7B4A74"/>
    <w:multiLevelType w:val="singleLevel"/>
    <w:tmpl w:val="0C7B4A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56036F2"/>
    <w:multiLevelType w:val="singleLevel"/>
    <w:tmpl w:val="156036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6890108"/>
    <w:multiLevelType w:val="singleLevel"/>
    <w:tmpl w:val="168901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4B48CF"/>
    <w:rsid w:val="047D5273"/>
    <w:rsid w:val="07AA0212"/>
    <w:rsid w:val="08053EFD"/>
    <w:rsid w:val="121F78C4"/>
    <w:rsid w:val="14DC1B42"/>
    <w:rsid w:val="2833607F"/>
    <w:rsid w:val="29C235A5"/>
    <w:rsid w:val="2AC86797"/>
    <w:rsid w:val="30AB7AA4"/>
    <w:rsid w:val="331D1716"/>
    <w:rsid w:val="340628FA"/>
    <w:rsid w:val="364542F2"/>
    <w:rsid w:val="3BC62A80"/>
    <w:rsid w:val="41195D48"/>
    <w:rsid w:val="45B45068"/>
    <w:rsid w:val="45C01602"/>
    <w:rsid w:val="4B9F6E4A"/>
    <w:rsid w:val="554A7E27"/>
    <w:rsid w:val="55756D67"/>
    <w:rsid w:val="58461CD4"/>
    <w:rsid w:val="6922313D"/>
    <w:rsid w:val="69E14559"/>
    <w:rsid w:val="6A301889"/>
    <w:rsid w:val="6CAF5695"/>
    <w:rsid w:val="74BB4445"/>
    <w:rsid w:val="755C3532"/>
    <w:rsid w:val="7CFC06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200"/>
      <w:outlineLvl w:val="1"/>
    </w:pPr>
    <w:rPr>
      <w:rFonts w:ascii="微软雅黑" w:hAnsi="微软雅黑" w:eastAsia="微软雅黑" w:cs="微软雅黑"/>
      <w:b/>
      <w:bCs/>
      <w:color w:val="2B579A"/>
      <w:sz w:val="32"/>
      <w:szCs w:val="32"/>
    </w:rPr>
  </w:style>
  <w:style w:type="paragraph" w:styleId="4">
    <w:name w:val="heading 3"/>
    <w:next w:val="1"/>
    <w:qFormat/>
    <w:uiPriority w:val="0"/>
    <w:pPr>
      <w:spacing w:before="200" w:after="160"/>
      <w:outlineLvl w:val="2"/>
    </w:pPr>
    <w:rPr>
      <w:rFonts w:ascii="微软雅黑" w:hAnsi="微软雅黑" w:eastAsia="微软雅黑" w:cs="微软雅黑"/>
      <w:b/>
      <w:bCs/>
      <w:color w:val="404040"/>
      <w:sz w:val="28"/>
      <w:szCs w:val="28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2404</Words>
  <Characters>3839</Characters>
  <TotalTime>992</TotalTime>
  <ScaleCrop>false</ScaleCrop>
  <LinksUpToDate>false</LinksUpToDate>
  <CharactersWithSpaces>4278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2026-05-21T03:26:00Z</dcterms:created>
  <dc:creator>Un-named</dc:creator>
  <cp:lastModifiedBy>霍亮~上海</cp:lastModifiedBy>
  <dcterms:modified xsi:type="dcterms:W3CDTF">2026-05-27T02:04:00Z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eyJoZGlkIjoiMzEwNTM5NzYwMDRjMzkwZTVkZjY2ODkwMGIxNGU0OTUiLCJ1c2VySWQiOiI5ODU2NzMzMTEifQ==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B7DB17C4803B429F97E82D0B3D00E473_13</vt:lpwstr>
  </property>
</Properties>
</file>