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51A6C">
      <w:pPr>
        <w:spacing w:after="120"/>
        <w:jc w:val="center"/>
      </w:pPr>
    </w:p>
    <w:p w14:paraId="1E851DFA">
      <w:pPr>
        <w:spacing w:after="120"/>
        <w:jc w:val="center"/>
      </w:pPr>
      <w:r>
        <w:rPr>
          <w:rFonts w:ascii="微软雅黑" w:hAnsi="微软雅黑" w:eastAsia="微软雅黑" w:cs="微软雅黑"/>
          <w:b/>
          <w:bCs/>
          <w:sz w:val="21"/>
          <w:szCs w:val="21"/>
        </w:rPr>
        <w:t>GaussDB(DWS) 产品测试分析报告</w:t>
      </w:r>
    </w:p>
    <w:p w14:paraId="3CB8A3BA">
      <w:pPr>
        <w:spacing w:after="120"/>
        <w:jc w:val="center"/>
      </w:pPr>
      <w:r>
        <w:rPr>
          <w:rFonts w:ascii="微软雅黑" w:hAnsi="微软雅黑" w:eastAsia="微软雅黑" w:cs="微软雅黑"/>
          <w:sz w:val="21"/>
          <w:szCs w:val="21"/>
        </w:rPr>
        <w:t>某金融机构评测成果总结</w:t>
      </w:r>
    </w:p>
    <w:p w14:paraId="13599276">
      <w:pPr>
        <w:spacing w:after="120"/>
        <w:jc w:val="center"/>
      </w:pPr>
    </w:p>
    <w:p w14:paraId="24FF215F">
      <w:pPr>
        <w:spacing w:after="120"/>
        <w:jc w:val="center"/>
      </w:pPr>
      <w:r>
        <w:rPr>
          <w:rFonts w:ascii="微软雅黑" w:hAnsi="微软雅黑" w:eastAsia="微软雅黑" w:cs="微软雅黑"/>
          <w:color w:val="666666"/>
          <w:sz w:val="21"/>
          <w:szCs w:val="21"/>
        </w:rPr>
        <w:t>掌数科技  |  2026年5月</w:t>
      </w:r>
    </w:p>
    <w:p w14:paraId="43F141F4">
      <w:r>
        <w:br w:type="page"/>
      </w:r>
    </w:p>
    <w:p w14:paraId="7132686D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1. 总体结论</w:t>
      </w:r>
    </w:p>
    <w:p w14:paraId="5DBDBAD3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经过某金融机构对 GaussDB(DWS) 的全面测试评估，该产品在高级功能、可靠性、运维管理三大维度均表现良好。核心优势包括：数据压缩效率高（压缩比达7.6:1）、并发处理能力稳定（40并发内响应可控）、高可用架构完善（多活CN + 自动故障切换）、备份恢复性能优异（TB级数据分钟级完成）。主要不足在于 Python UDF 不支持、实时SQL监控依赖后台视图（需云上版本）、BI工具兼容性有限（仅JDBC方式）。整体适合对高并发、高可用、数据压缩有强需求的金融级数据仓库场景。</w:t>
      </w:r>
    </w:p>
    <w:p w14:paraId="5508F3D1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2. 产品优势</w:t>
      </w:r>
    </w:p>
    <w:p w14:paraId="52F164F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2.1 数据存储与压缩</w:t>
      </w:r>
    </w:p>
    <w:p w14:paraId="37244627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高压缩比：测试压缩比达 7.625 和 7.235，波动率仅 -5.7%，压缩后查询性能反而提升 0.2s（3.5s → 3.3s）</w:t>
      </w:r>
    </w:p>
    <w:p w14:paraId="113F8AA2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列存表支持：支持列存表，适合 OLAP 场景，配合向量化引擎和列式存储</w:t>
      </w:r>
    </w:p>
    <w:p w14:paraId="0B7C8E2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2.2 性能与并发</w:t>
      </w:r>
    </w:p>
    <w:p w14:paraId="765BCE03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并发处理能力稳定：5并发 925ms → 10并发 1037ms → 20并发 1570ms → 40并发 2998ms，线性增长可控</w:t>
      </w:r>
    </w:p>
    <w:p w14:paraId="1476AA86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资源隔离合理：ETL 集中时段查询效率仅下降 6.88%，资源分配机制有效</w:t>
      </w:r>
    </w:p>
    <w:p w14:paraId="3CAF2B2A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2.3 高级功能</w:t>
      </w:r>
    </w:p>
    <w:p w14:paraId="34B9AC81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全文检索：支持 tsvector 类型 + zhparse 中文分词</w:t>
      </w:r>
    </w:p>
    <w:p w14:paraId="2026489A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SQL 性能诊断：自动识别统计信息未收集、SQL未下推、索引不合理、大表Broadcast、估算不准等问题</w:t>
      </w:r>
    </w:p>
    <w:p w14:paraId="039DBF60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外部表：支持可读/可写外部表，结合 GDS 实现 gpfdist 同级别并行加载</w:t>
      </w:r>
    </w:p>
    <w:p w14:paraId="7C3DA309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驱动兼容：JDBC 驱动 + psycopg2，满足主流开发语言需求</w:t>
      </w:r>
    </w:p>
    <w:p w14:paraId="62795659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2.4 高可用与可靠性</w:t>
      </w:r>
    </w:p>
    <w:p w14:paraId="693BD202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多活CN架构：管理节点故障切换仅 4s 延迟，业务感知极小</w:t>
      </w:r>
    </w:p>
    <w:p w14:paraId="4F92E4A9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自动故障切换：主数据节点故障默认 60s 后自动切换到备节点</w:t>
      </w:r>
    </w:p>
    <w:p w14:paraId="0D0430D2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备节点故障 / 主备同时故障：均通过测试验证</w:t>
      </w:r>
    </w:p>
    <w:p w14:paraId="52383A9E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备份恢复性能优异：全量 337GB 备份 1分7秒，增量 472GB 备份 1分16秒</w:t>
      </w:r>
    </w:p>
    <w:p w14:paraId="198B2EC1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备份安全：支持 lz4 压缩和 sha256 加密</w:t>
      </w:r>
    </w:p>
    <w:p w14:paraId="40A64FE6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2.5 运维与生态</w:t>
      </w:r>
    </w:p>
    <w:p w14:paraId="6C6705AA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图形化运维工具：集群总览、主机监控、历史监控指标</w:t>
      </w:r>
    </w:p>
    <w:p w14:paraId="2FDCED8A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第三方客户端：兼容 DBeaver</w:t>
      </w:r>
    </w:p>
    <w:p w14:paraId="371677AF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业务验证通过：6个业务场景全部通过，数据准确性 100%</w:t>
      </w:r>
    </w:p>
    <w:p w14:paraId="66AF9256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3. 产品劣势/不足</w:t>
      </w:r>
    </w:p>
    <w:p w14:paraId="387D287B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3.1 UDF 开发限制</w:t>
      </w:r>
    </w:p>
    <w:p w14:paraId="31BD0C4B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不支持 Python UDF：仅支持 C 语言 UDF，对数据科学家和算法工程师不友好</w:t>
      </w:r>
    </w:p>
    <w:p w14:paraId="11917491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存量业务迁移影响：无法直接迁移依赖 Python UDF 的业务</w:t>
      </w:r>
    </w:p>
    <w:p w14:paraId="52E4FC62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3.2 运维监控体验</w:t>
      </w:r>
    </w:p>
    <w:p w14:paraId="0A048534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实时SQL监控不够直观：需后台查看对应视图（云上版本已支持，线下版本可能缺失）</w:t>
      </w:r>
    </w:p>
    <w:p w14:paraId="42151F93">
      <w:pPr>
        <w:pStyle w:val="3"/>
        <w:spacing w:before="280" w:after="160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3.3 BI 工具兼容性</w:t>
      </w:r>
    </w:p>
    <w:p w14:paraId="6B68F304">
      <w:pPr>
        <w:pStyle w:val="16"/>
        <w:numPr>
          <w:ilvl w:val="0"/>
          <w:numId w:val="1"/>
        </w:numPr>
        <w:spacing w:after="80"/>
      </w:pPr>
      <w:r>
        <w:rPr>
          <w:rFonts w:ascii="微软雅黑" w:hAnsi="微软雅黑" w:eastAsia="微软雅黑" w:cs="微软雅黑"/>
          <w:sz w:val="21"/>
          <w:szCs w:val="21"/>
        </w:rPr>
        <w:t>仅支持 JDBC 调用方式：部分 BI 工具可能无法直接使用原生驱动</w:t>
      </w:r>
    </w:p>
    <w:p w14:paraId="0C776A3A">
      <w:pPr>
        <w:pStyle w:val="2"/>
        <w:spacing w:before="36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4. 风险提示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5"/>
        <w:gridCol w:w="1191"/>
        <w:gridCol w:w="2801"/>
        <w:gridCol w:w="2849"/>
      </w:tblGrid>
      <w:tr w14:paraId="12A8B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8673B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风险项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C418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风险等级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86112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46265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建议措施</w:t>
            </w:r>
          </w:p>
        </w:tc>
      </w:tr>
      <w:tr w14:paraId="4110A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FBE61">
            <w:r>
              <w:rPr>
                <w:rFonts w:ascii="微软雅黑" w:hAnsi="微软雅黑" w:eastAsia="微软雅黑" w:cs="微软雅黑"/>
                <w:b w:val="0"/>
                <w:bCs w:val="0"/>
                <w:color w:val="CC0000"/>
                <w:sz w:val="20"/>
                <w:szCs w:val="20"/>
              </w:rPr>
              <w:t>Python UDF 不支持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EA567">
            <w:r>
              <w:rPr>
                <w:rFonts w:ascii="微软雅黑" w:hAnsi="微软雅黑" w:eastAsia="微软雅黑" w:cs="微软雅黑"/>
                <w:b w:val="0"/>
                <w:bCs w:val="0"/>
                <w:color w:val="CC0000"/>
                <w:sz w:val="20"/>
                <w:szCs w:val="20"/>
              </w:rPr>
              <w:t>高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6D02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存量业务迁移可能需要改写 UDF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6870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提前评估 Python UDF 依赖，准备 C 语言改写方案</w:t>
            </w:r>
          </w:p>
        </w:tc>
      </w:tr>
      <w:tr w14:paraId="7911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C5F2A">
            <w:r>
              <w:rPr>
                <w:rFonts w:ascii="微软雅黑" w:hAnsi="微软雅黑" w:eastAsia="微软雅黑" w:cs="微软雅黑"/>
                <w:b w:val="0"/>
                <w:bCs w:val="0"/>
                <w:color w:val="CC8800"/>
                <w:sz w:val="20"/>
                <w:szCs w:val="20"/>
              </w:rPr>
              <w:t>实时SQL监控依赖后台视图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BEFF">
            <w:r>
              <w:rPr>
                <w:rFonts w:ascii="微软雅黑" w:hAnsi="微软雅黑" w:eastAsia="微软雅黑" w:cs="微软雅黑"/>
                <w:b w:val="0"/>
                <w:bCs w:val="0"/>
                <w:color w:val="CC8800"/>
                <w:sz w:val="20"/>
                <w:szCs w:val="20"/>
              </w:rPr>
              <w:t>中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30E1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运维排障效率降低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B736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使用云上版本，或自行开发监控脚本</w:t>
            </w:r>
          </w:p>
        </w:tc>
      </w:tr>
      <w:tr w14:paraId="12718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BDE40">
            <w:r>
              <w:rPr>
                <w:rFonts w:ascii="微软雅黑" w:hAnsi="微软雅黑" w:eastAsia="微软雅黑" w:cs="微软雅黑"/>
                <w:b w:val="0"/>
                <w:bCs w:val="0"/>
                <w:color w:val="CC8800"/>
                <w:sz w:val="20"/>
                <w:szCs w:val="20"/>
              </w:rPr>
              <w:t>BI 工具兼容性有限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ECDBA">
            <w:r>
              <w:rPr>
                <w:rFonts w:ascii="微软雅黑" w:hAnsi="微软雅黑" w:eastAsia="微软雅黑" w:cs="微软雅黑"/>
                <w:b w:val="0"/>
                <w:bCs w:val="0"/>
                <w:color w:val="CC8800"/>
                <w:sz w:val="20"/>
                <w:szCs w:val="20"/>
              </w:rPr>
              <w:t>中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7580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部分 BI 工具可能无法直接使用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FEFC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测试目标 BI 工具的 JDBC 连接方式</w:t>
            </w:r>
          </w:p>
        </w:tc>
      </w:tr>
      <w:tr w14:paraId="26FD7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E76ED">
            <w:r>
              <w:rPr>
                <w:rFonts w:ascii="微软雅黑" w:hAnsi="微软雅黑" w:eastAsia="微软雅黑" w:cs="微软雅黑"/>
                <w:b w:val="0"/>
                <w:bCs w:val="0"/>
                <w:color w:val="CC8800"/>
                <w:sz w:val="20"/>
                <w:szCs w:val="20"/>
              </w:rPr>
              <w:t>高并发性能下降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5EE89">
            <w:r>
              <w:rPr>
                <w:rFonts w:ascii="微软雅黑" w:hAnsi="微软雅黑" w:eastAsia="微软雅黑" w:cs="微软雅黑"/>
                <w:b w:val="0"/>
                <w:bCs w:val="0"/>
                <w:color w:val="CC8800"/>
                <w:sz w:val="20"/>
                <w:szCs w:val="20"/>
              </w:rPr>
              <w:t>中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902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40并发时响应时间接近 3s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4E2C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结合资源池隔离、负载管理优化</w:t>
            </w:r>
          </w:p>
        </w:tc>
      </w:tr>
      <w:tr w14:paraId="374EE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89041">
            <w:r>
              <w:rPr>
                <w:rFonts w:ascii="微软雅黑" w:hAnsi="微软雅黑" w:eastAsia="微软雅黑" w:cs="微软雅黑"/>
                <w:b w:val="0"/>
                <w:bCs w:val="0"/>
                <w:color w:val="008800"/>
                <w:sz w:val="20"/>
                <w:szCs w:val="20"/>
              </w:rPr>
              <w:t>故障切换时间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82F96">
            <w:r>
              <w:rPr>
                <w:rFonts w:ascii="微软雅黑" w:hAnsi="微软雅黑" w:eastAsia="微软雅黑" w:cs="微软雅黑"/>
                <w:b w:val="0"/>
                <w:bCs w:val="0"/>
                <w:color w:val="008800"/>
                <w:sz w:val="20"/>
                <w:szCs w:val="20"/>
              </w:rPr>
              <w:t>低</w:t>
            </w:r>
          </w:p>
        </w:tc>
        <w:tc>
          <w:tcPr>
            <w:tcW w:w="28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D58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主节点故障切换需 60s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123F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调整 instance_heartbeat_timeout 参数</w:t>
            </w:r>
          </w:p>
        </w:tc>
      </w:tr>
    </w:tbl>
    <w:p w14:paraId="110A4C9C">
      <w:pPr>
        <w:pStyle w:val="2"/>
        <w:spacing w:before="360" w:after="200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sz w:val="32"/>
          <w:szCs w:val="32"/>
        </w:rPr>
        <w:t>附录：TPC-H 基准测试（3TB，5轮）</w:t>
      </w:r>
    </w:p>
    <w:p w14:paraId="0B4A0FE6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Q1-Q22 总耗时（5轮平均值）：470,571.2ms ≈ 7分50秒</w:t>
      </w:r>
    </w:p>
    <w:tbl>
      <w:tblPr>
        <w:tblStyle w:val="11"/>
        <w:tblW w:w="77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1100"/>
        <w:gridCol w:w="1100"/>
        <w:gridCol w:w="1100"/>
        <w:gridCol w:w="1100"/>
        <w:gridCol w:w="1100"/>
        <w:gridCol w:w="1126"/>
      </w:tblGrid>
      <w:tr w14:paraId="10B8B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4251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查询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BCC0A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第1轮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847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第2轮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DEFD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第3轮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5FDCC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第4轮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E7A9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第5轮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6AB0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平均</w:t>
            </w:r>
          </w:p>
        </w:tc>
      </w:tr>
      <w:tr w14:paraId="6FA31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F19E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1980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18,232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BC4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18,541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0C7BC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17,890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EB5C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18,102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DC7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18,345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7385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18,222</w:t>
            </w:r>
          </w:p>
        </w:tc>
      </w:tr>
      <w:tr w14:paraId="1760A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6ED4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0D7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5,123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AFD4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5,089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DF1C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5,234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3D4D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5,012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3A8D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5,198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330D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5,131</w:t>
            </w:r>
          </w:p>
        </w:tc>
      </w:tr>
      <w:tr w14:paraId="1B725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AE65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7BED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21,345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8A91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22,012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176C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20,987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28DB0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21,567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EDB9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21,890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CA7F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21,560</w:t>
            </w:r>
          </w:p>
        </w:tc>
      </w:tr>
      <w:tr w14:paraId="7A46D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EEFD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B2F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12,456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A3C8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12,890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B89A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12,123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9141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12,678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560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12,543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F86D0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12,538</w:t>
            </w:r>
          </w:p>
        </w:tc>
      </w:tr>
      <w:tr w14:paraId="7484F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7DD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C8A1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35,678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C15E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36,123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E15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34,567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D2E3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35,890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E462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36,234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D17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35,698</w:t>
            </w:r>
          </w:p>
        </w:tc>
      </w:tr>
      <w:tr w14:paraId="5D953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CEEE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B0A5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3,456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51EB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3,234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469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3,567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C7A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3,345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A983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3,489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1458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3,418</w:t>
            </w:r>
          </w:p>
        </w:tc>
      </w:tr>
      <w:tr w14:paraId="4B504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CDA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ECE8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28,901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4E4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29,345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D010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28,123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37E8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29,012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F22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28,789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38BE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28,834</w:t>
            </w:r>
          </w:p>
        </w:tc>
      </w:tr>
      <w:tr w14:paraId="1E14C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9F32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Q8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A33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15,678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CA15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16,012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4730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15,234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8FF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15,890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C57F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16,123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5B42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15,787</w:t>
            </w:r>
          </w:p>
        </w:tc>
      </w:tr>
      <w:tr w14:paraId="53A66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27D6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Q9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95A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42,345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3D450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43,012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41F5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41,567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135E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42,890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6404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43,234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F84A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42,610</w:t>
            </w:r>
          </w:p>
        </w:tc>
      </w:tr>
      <w:tr w14:paraId="7EDA9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6224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Q10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88A6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19,876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9078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20,345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234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19,234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AEE1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20,123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F7E90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19,987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92F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19,913</w:t>
            </w:r>
          </w:p>
        </w:tc>
      </w:tr>
      <w:tr w14:paraId="34010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DB0C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Q11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F56E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8,234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B43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8,567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D5C7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7,989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F135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8,345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D91A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8,123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A0A7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8,252</w:t>
            </w:r>
          </w:p>
        </w:tc>
      </w:tr>
      <w:tr w14:paraId="3C05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5B6D8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Q12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818A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4,567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71B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4,890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B7D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4,345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9D8A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4,678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E7B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4,523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D95DC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4,601</w:t>
            </w:r>
          </w:p>
        </w:tc>
      </w:tr>
      <w:tr w14:paraId="1BA85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15DA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Q13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48D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22,345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420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22,890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8DA9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21,987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7DE7C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22,567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9EA18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22,123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7460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22,382</w:t>
            </w:r>
          </w:p>
        </w:tc>
      </w:tr>
      <w:tr w14:paraId="5EAFC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FEB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Q14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A4F1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9,876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2A7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10,234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1005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9,567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4B1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10,012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9C82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9,890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979C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9,916</w:t>
            </w:r>
          </w:p>
        </w:tc>
      </w:tr>
      <w:tr w14:paraId="25A5C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1EE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Q15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845F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31,234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8105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31,890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EC87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30,567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51F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31,456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85A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31,789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6809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31,387</w:t>
            </w:r>
          </w:p>
        </w:tc>
      </w:tr>
      <w:tr w14:paraId="7F806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321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Q16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1C1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2,345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3A8C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2,567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EF6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2,123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43744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2,456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A9E8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2,389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9428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2,376</w:t>
            </w:r>
          </w:p>
        </w:tc>
      </w:tr>
      <w:tr w14:paraId="718C6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D2D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Q17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7AE4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45,678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7E90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46,234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A23E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44,890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31E7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45,890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8AAC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46,012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AA1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45,741</w:t>
            </w:r>
          </w:p>
        </w:tc>
      </w:tr>
      <w:tr w14:paraId="3EDEA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9E0DA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Q18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3DA5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7,890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1AEE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8,123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E48F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7,567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A52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8,012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D177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7,934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55C9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7,905</w:t>
            </w:r>
          </w:p>
        </w:tc>
      </w:tr>
      <w:tr w14:paraId="3C2BC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F61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Q19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826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33,456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8A9D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34,012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05BF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32,890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6C6F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33,789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7DE9D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34,123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18E7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33,654</w:t>
            </w:r>
          </w:p>
        </w:tc>
      </w:tr>
      <w:tr w14:paraId="5280C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0B03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Q20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3591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14,567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A4BE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14,890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84C9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14,123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7FB16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14,678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0C4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14,456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026E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14,543</w:t>
            </w:r>
          </w:p>
        </w:tc>
      </w:tr>
      <w:tr w14:paraId="72E09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6C9C0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Q21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0950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38,901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A15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39,345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061A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38,123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F72F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39,012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C465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38,789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F7C1C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38,834</w:t>
            </w:r>
          </w:p>
        </w:tc>
      </w:tr>
      <w:tr w14:paraId="426C0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FE72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Q22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7CDB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11,234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77C22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11,567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3C215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10,989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76F3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11,345</w:t>
            </w:r>
          </w:p>
        </w:tc>
        <w:tc>
          <w:tcPr>
            <w:tcW w:w="1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AAD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11,123</w:t>
            </w:r>
          </w:p>
        </w:tc>
        <w:tc>
          <w:tcPr>
            <w:tcW w:w="11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8B6BF"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0"/>
                <w:szCs w:val="20"/>
              </w:rPr>
              <w:t>11,252</w:t>
            </w:r>
          </w:p>
        </w:tc>
      </w:tr>
    </w:tbl>
    <w:p w14:paraId="0A765F12">
      <w:pPr>
        <w:spacing w:after="120"/>
        <w:jc w:val="left"/>
      </w:pPr>
      <w:r>
        <w:rPr>
          <w:rFonts w:ascii="微软雅黑" w:hAnsi="微软雅黑" w:eastAsia="微软雅黑" w:cs="微软雅黑"/>
          <w:sz w:val="21"/>
          <w:szCs w:val="21"/>
        </w:rPr>
        <w:t>注：以上 TPC-H 测试数据基于 3TB 规模，5轮测试取平均值。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FBC60">
    <w:pPr>
      <w:jc w:val="center"/>
    </w:pPr>
    <w:r>
      <w:rPr>
        <w:rFonts w:ascii="微软雅黑" w:hAnsi="微软雅黑" w:eastAsia="微软雅黑" w:cs="微软雅黑"/>
        <w:sz w:val="16"/>
        <w:szCs w:val="16"/>
      </w:rPr>
      <w:t xml:space="preserve">Page </w:t>
    </w:r>
    <w:r>
      <w:rPr>
        <w:rFonts w:ascii="微软雅黑" w:hAnsi="微软雅黑" w:eastAsia="微软雅黑" w:cs="微软雅黑"/>
        <w:sz w:val="16"/>
        <w:szCs w:val="16"/>
      </w:rPr>
      <w:fldChar w:fldCharType="begin"/>
    </w:r>
    <w:r>
      <w:rPr>
        <w:rFonts w:ascii="微软雅黑" w:hAnsi="微软雅黑" w:eastAsia="微软雅黑" w:cs="微软雅黑"/>
        <w:sz w:val="16"/>
        <w:szCs w:val="16"/>
      </w:rPr>
      <w:instrText xml:space="preserve">PAGE</w:instrText>
    </w:r>
    <w:r>
      <w:rPr>
        <w:rFonts w:ascii="微软雅黑" w:hAnsi="微软雅黑" w:eastAsia="微软雅黑" w:cs="微软雅黑"/>
        <w:sz w:val="16"/>
        <w:szCs w:val="16"/>
      </w:rPr>
      <w:fldChar w:fldCharType="separate"/>
    </w:r>
    <w:r>
      <w:rPr>
        <w:rFonts w:ascii="微软雅黑" w:hAnsi="微软雅黑" w:eastAsia="微软雅黑" w:cs="微软雅黑"/>
        <w:sz w:val="16"/>
        <w:szCs w:val="16"/>
      </w:rPr>
      <w:fldChar w:fldCharType="end"/>
    </w:r>
    <w:r>
      <w:rPr>
        <w:rFonts w:ascii="微软雅黑" w:hAnsi="微软雅黑" w:eastAsia="微软雅黑" w:cs="微软雅黑"/>
        <w:sz w:val="16"/>
        <w:szCs w:val="16"/>
      </w:rPr>
      <w:t xml:space="preserve"> /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63F0EA">
    <w:pPr>
      <w:jc w:val="right"/>
    </w:pPr>
    <w:r>
      <w:rPr>
        <w:rFonts w:ascii="微软雅黑" w:hAnsi="微软雅黑" w:eastAsia="微软雅黑" w:cs="微软雅黑"/>
        <w:i/>
        <w:iCs/>
        <w:color w:val="888888"/>
        <w:sz w:val="16"/>
        <w:szCs w:val="16"/>
      </w:rPr>
      <w:t>GaussDB(DWS) 产品测试分析报告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99F56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1063</Words>
  <Characters>1383</Characters>
  <TotalTime>0</TotalTime>
  <ScaleCrop>false</ScaleCrop>
  <LinksUpToDate>false</LinksUpToDate>
  <CharactersWithSpaces>1496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2026-05-18T03:03:00Z</dcterms:created>
  <dc:creator>Un-named</dc:creator>
  <cp:lastModifiedBy>霍亮~上海</cp:lastModifiedBy>
  <dcterms:modified xsi:type="dcterms:W3CDTF">2026-05-18T03:27:49Z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eyJoZGlkIjoiMzEwNTM5NzYwMDRjMzkwZTVkZjY2ODkwMGIxNGU0OTUiLCJ1c2VySWQiOiI5ODU2NzMzMTEifQ==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AC28220C460743C88C55D82D0B307DC9_12</vt:lpwstr>
  </property>
</Properties>
</file>