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0342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## 研究背景和动机：希望背后的未知阴影</w:t>
      </w:r>
    </w:p>
    <w:p w14:paraId="6DE9D689" w14:textId="77777777" w:rsidR="007F3AE2" w:rsidRDefault="007F3AE2" w:rsidP="007F3AE2">
      <w:pPr>
        <w:rPr>
          <w:rFonts w:hint="eastAsia"/>
        </w:rPr>
      </w:pPr>
    </w:p>
    <w:p w14:paraId="3ED844A0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脊髓性肌萎缩症（SMA）是一种由于SMN1基因缺失或突变导致的严重遗传性神经肌肉疾病。它主要影响婴儿，会导致进行性肌无力、呼吸衰竭，在缺乏有效干预的情况下，1型SMA患儿通常在2岁前死于呼吸衰竭。</w:t>
      </w:r>
    </w:p>
    <w:p w14:paraId="09CD7589" w14:textId="77777777" w:rsidR="007F3AE2" w:rsidRDefault="007F3AE2" w:rsidP="007F3AE2">
      <w:pPr>
        <w:rPr>
          <w:rFonts w:hint="eastAsia"/>
        </w:rPr>
      </w:pPr>
    </w:p>
    <w:p w14:paraId="2A22C038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近年来，SMA的治疗取得了革命性突破，其中诺华公司的基因疗法**Onasemnogene abeparvovec (OA，商品名Zolgensma)** 尤为引人注目。它是一种一次性静脉注射基因疗法，通过AAV9病毒载体将功能性SMN基因导入患者细胞。关键的III期临床试验（如STR1VE-US）结果显示，接受治疗后，91%的1型SMA患儿在14个月大时实现了无永久性通气的生存，疗效显著。</w:t>
      </w:r>
    </w:p>
    <w:p w14:paraId="1234E7B5" w14:textId="77777777" w:rsidR="007F3AE2" w:rsidRDefault="007F3AE2" w:rsidP="007F3AE2">
      <w:pPr>
        <w:rPr>
          <w:rFonts w:hint="eastAsia"/>
        </w:rPr>
      </w:pPr>
    </w:p>
    <w:p w14:paraId="12A9C98C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然而，一个关键问题浮出水面：**这些辉煌的试验结果能否推广到“晚期”SMA患者？** 这里的“晚期”指的是那些已经需要**24小时有创通气和喂食支持**的重症患儿。由于缺乏数据，OA的药品说明书和相关指南对这类患儿的应用持谨慎态度。</w:t>
      </w:r>
    </w:p>
    <w:p w14:paraId="16A5BB94" w14:textId="435DB44E" w:rsidR="007F3AE2" w:rsidRDefault="007F3AE2" w:rsidP="007F3AE2">
      <w:r>
        <w:rPr>
          <w:rFonts w:hint="eastAsia"/>
          <w:noProof/>
        </w:rPr>
        <w:drawing>
          <wp:inline distT="0" distB="0" distL="0" distR="0" wp14:anchorId="4A662C76" wp14:editId="0904956D">
            <wp:extent cx="5357482" cy="2901636"/>
            <wp:effectExtent l="0" t="0" r="0" b="0"/>
            <wp:docPr id="182929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98" cy="29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528C0" w14:textId="230207B0" w:rsidR="001128CB" w:rsidRDefault="001128CB" w:rsidP="007F3AE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D22020" wp14:editId="2FEF43B0">
            <wp:extent cx="5152401" cy="2587977"/>
            <wp:effectExtent l="0" t="0" r="0" b="3175"/>
            <wp:docPr id="15120404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62" cy="2611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9EDB0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正是在这个背景下，这篇由泰国Siriraj医院团队发表于 *Gene Therapy* 的论文应运而生。研究团队有机会在同情用药项目中为8名泰国SMA患儿（其中5名是依赖呼吸机生存的晚期1型患儿）提供了OA治疗。他们的动机很明确：通过这项真实世界观察性研究，评估OA在晚期SMA患者中的真实疗效和安全性，并与泰国当地未经治疗的历史对照组进行生存率比较。</w:t>
      </w:r>
    </w:p>
    <w:p w14:paraId="50C0595F" w14:textId="77777777" w:rsidR="007F3AE2" w:rsidRDefault="007F3AE2" w:rsidP="007F3AE2">
      <w:pPr>
        <w:rPr>
          <w:rFonts w:hint="eastAsia"/>
        </w:rPr>
      </w:pPr>
    </w:p>
    <w:p w14:paraId="7E3162A8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## 核心方法：真实世界中的严谨观察</w:t>
      </w:r>
    </w:p>
    <w:p w14:paraId="47A2BC5E" w14:textId="77777777" w:rsidR="007F3AE2" w:rsidRDefault="007F3AE2" w:rsidP="007F3AE2">
      <w:pPr>
        <w:rPr>
          <w:rFonts w:hint="eastAsia"/>
        </w:rPr>
      </w:pPr>
    </w:p>
    <w:p w14:paraId="49214D5F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该研究的设计严谨，清晰地展示了真实世界研究与注册临床试验的差异：</w:t>
      </w:r>
    </w:p>
    <w:p w14:paraId="1DA20C95" w14:textId="77777777" w:rsidR="007F3AE2" w:rsidRDefault="007F3AE2" w:rsidP="007F3AE2">
      <w:pPr>
        <w:rPr>
          <w:rFonts w:hint="eastAsia"/>
        </w:rPr>
      </w:pPr>
    </w:p>
    <w:p w14:paraId="6CC96626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-   **研究设计与对象**：这是一项在泰国Siriraj医院进行的观察性队列研究，时间跨度为2019年5月至2022年4月。研究对象分为两组：</w:t>
      </w:r>
    </w:p>
    <w:p w14:paraId="0560BE96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 xml:space="preserve">    - **治疗组**：8名接受OA治疗的SMA患儿，其中包括5名**晚期1型患儿**（治疗中位年龄16.7个月）和3名2型患儿（治疗中位年龄20.3个月）。所有晚期1型患儿在治疗前均已依赖24小时有创通气和喂食支持。</w:t>
      </w:r>
    </w:p>
    <w:p w14:paraId="6B7C40DA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 xml:space="preserve">    - **历史对照组**：21名在2006年至2021年间于同一医院随访、但未接受任何疾病修正治疗的1型SMA患儿。</w:t>
      </w:r>
    </w:p>
    <w:p w14:paraId="18D0EC86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-   **干预与评估**：所有患儿均按照标准方案接受了单次OA静脉输注。研究人员在治疗前及治疗后每3个月对患儿进行系统的运动功能评估，使用了CHOP-INTEND、HINE-2、HFMSE等一系列国际通用的量表。同时，密切监测包括肝毒性、心脏毒性在内的不良事件，并详细记录患儿的生存状态。</w:t>
      </w:r>
    </w:p>
    <w:p w14:paraId="220E97F0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lastRenderedPageBreak/>
        <w:t>-   **统计分析**：研究采用 Kaplan-Meier 方法对治疗组和历史对照组的1型患儿进行生存分析，以比较两者生存率的差异。</w:t>
      </w:r>
    </w:p>
    <w:p w14:paraId="24E7A210" w14:textId="77777777" w:rsidR="007F3AE2" w:rsidRDefault="007F3AE2" w:rsidP="007F3AE2">
      <w:pPr>
        <w:rPr>
          <w:rFonts w:hint="eastAsia"/>
        </w:rPr>
      </w:pPr>
    </w:p>
    <w:p w14:paraId="65410B6A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## 主要结果：一个清晰而严峻的分化</w:t>
      </w:r>
    </w:p>
    <w:p w14:paraId="0B5FC5EA" w14:textId="4368EDC6" w:rsidR="007F3AE2" w:rsidRDefault="004848BF" w:rsidP="007F3A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89FFB6" wp14:editId="6CC205A1">
            <wp:extent cx="4114800" cy="3257195"/>
            <wp:effectExtent l="0" t="0" r="0" b="635"/>
            <wp:docPr id="18868375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91" cy="326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864C4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研究结果呈现出一种与之前乐观预期截然不同的图景，尤其是在最脆弱的晚期1型患儿群体中：</w:t>
      </w:r>
    </w:p>
    <w:p w14:paraId="327EAD56" w14:textId="77777777" w:rsidR="007F3AE2" w:rsidRDefault="007F3AE2" w:rsidP="007F3AE2">
      <w:pPr>
        <w:rPr>
          <w:rFonts w:hint="eastAsia"/>
        </w:rPr>
      </w:pPr>
    </w:p>
    <w:p w14:paraId="40CC9914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1.  **晚期1型患儿（5名）：治疗未能逆转结局**</w:t>
      </w:r>
    </w:p>
    <w:p w14:paraId="04197022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 xml:space="preserve">    - **运动功能**：尽管有3名患儿在治疗后出现了**渐进性的运动评分改善**，但**没有任何一人达到新的运动里程碑**。这意味着他们仍然无法抬头、翻身或坐立。</w:t>
      </w:r>
    </w:p>
    <w:p w14:paraId="5EEF6FFD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 xml:space="preserve">    - **生存率**：这是最令人痛心的发现。所有5名晚期1型患儿均在随访期内死亡，**生存率未能得到改善**。与历史对照组相比，OA治疗并未改变他们最终死于呼吸衰竭的命运。</w:t>
      </w:r>
    </w:p>
    <w:p w14:paraId="22A81A20" w14:textId="77777777" w:rsidR="007F3AE2" w:rsidRDefault="007F3AE2" w:rsidP="007F3AE2">
      <w:pPr>
        <w:rPr>
          <w:rFonts w:hint="eastAsia"/>
        </w:rPr>
      </w:pPr>
    </w:p>
    <w:p w14:paraId="25FEEF9B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2.  **2型患儿（3名）：治疗显示出积极效果**</w:t>
      </w:r>
    </w:p>
    <w:p w14:paraId="403AC6B4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 xml:space="preserve">    - 与晚期1型患儿形成鲜明对比的是，3名2型患儿在接受OA治疗后，均表现出运动评分的改善，并且没有出现严重的不良事件。</w:t>
      </w:r>
    </w:p>
    <w:p w14:paraId="29E5C67A" w14:textId="77777777" w:rsidR="007F3AE2" w:rsidRDefault="007F3AE2" w:rsidP="007F3AE2">
      <w:pPr>
        <w:rPr>
          <w:rFonts w:hint="eastAsia"/>
        </w:rPr>
      </w:pPr>
    </w:p>
    <w:p w14:paraId="6EFBFD0D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lastRenderedPageBreak/>
        <w:t>**研究的核心结论**：对于已经处于疾病非常晚期、需要24小时有创通气的SMA 1型患儿，OA未能显著改善其临床结局或提高生存率。研究强烈呼吁，在为这类重症患儿使用OA时，需要**额外的谨慎**，并制定**更具体的指南**来筛选适合治疗的亚群。</w:t>
      </w:r>
    </w:p>
    <w:p w14:paraId="5427C78B" w14:textId="77777777" w:rsidR="007F3AE2" w:rsidRDefault="007F3AE2" w:rsidP="007F3AE2">
      <w:pPr>
        <w:rPr>
          <w:rFonts w:hint="eastAsia"/>
        </w:rPr>
      </w:pPr>
    </w:p>
    <w:p w14:paraId="151F0806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## 个人小结：精准医学的边界与真实世界研究的价值</w:t>
      </w:r>
    </w:p>
    <w:p w14:paraId="62839090" w14:textId="3BB7DAE4" w:rsidR="007F3AE2" w:rsidRDefault="00217BFA" w:rsidP="007F3A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FE592B" wp14:editId="5D19438C">
            <wp:extent cx="5075669" cy="4001821"/>
            <wp:effectExtent l="0" t="0" r="0" b="0"/>
            <wp:docPr id="613413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31" cy="402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4DE1F7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这篇论文给我带来了两点深刻的触动：</w:t>
      </w:r>
    </w:p>
    <w:p w14:paraId="02E2B207" w14:textId="77777777" w:rsidR="007F3AE2" w:rsidRDefault="007F3AE2" w:rsidP="007F3AE2">
      <w:pPr>
        <w:rPr>
          <w:rFonts w:hint="eastAsia"/>
        </w:rPr>
      </w:pPr>
    </w:p>
    <w:p w14:paraId="4DD45C3B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首先，它是对“精准医学”边界的生动诠释。OA无疑是一款革命性的药物，但其疗效并非“放之四海而皆准”。这篇研究冷酷而清晰地揭示出，**治疗的时机至关重要**。对于已经发生不可逆的运动神经元大量死亡、器官功能严重受损的晚期患儿，即便从基因层面“修正”了错误，也无法“起死回生”，逆转已经造成的生理损伤。这提示我们，将新疗法推向更广泛人群时，必须精准定义其有效人群的边界。</w:t>
      </w:r>
    </w:p>
    <w:p w14:paraId="66E32B49" w14:textId="77777777" w:rsidR="007F3AE2" w:rsidRDefault="007F3AE2" w:rsidP="007F3AE2">
      <w:pPr>
        <w:rPr>
          <w:rFonts w:hint="eastAsia"/>
        </w:rPr>
      </w:pPr>
    </w:p>
    <w:p w14:paraId="340076EC" w14:textId="77777777" w:rsidR="007F3AE2" w:rsidRDefault="007F3AE2" w:rsidP="007F3AE2">
      <w:pPr>
        <w:rPr>
          <w:rFonts w:hint="eastAsia"/>
        </w:rPr>
      </w:pPr>
      <w:r>
        <w:rPr>
          <w:rFonts w:hint="eastAsia"/>
        </w:rPr>
        <w:t>其次，它凸显了**真实世界研究不可替代的价值**。注册临床试验为了确证疗效，通常会设置严格的入排标准，排除重症患者。然而，临床实践中，医生和家庭总会遇到这些被排除在外的情况。正是通过这篇来自泰国的真实世界数据，我们才得以窥见OA在真实世界最严峻一面的表现。这些数据虽然样本量小、令人痛心，但其指导意义巨</w:t>
      </w:r>
      <w:r>
        <w:rPr>
          <w:rFonts w:hint="eastAsia"/>
        </w:rPr>
        <w:lastRenderedPageBreak/>
        <w:t>大，它提醒全球的医生和监管机构，在将这种昂贵的基因疗法应用于最脆弱的患者时，必须进行更审慎的风险-获益评估。</w:t>
      </w:r>
    </w:p>
    <w:p w14:paraId="10DF08B0" w14:textId="77777777" w:rsidR="007F3AE2" w:rsidRDefault="007F3AE2" w:rsidP="007F3AE2">
      <w:pPr>
        <w:rPr>
          <w:rFonts w:hint="eastAsia"/>
        </w:rPr>
      </w:pPr>
    </w:p>
    <w:p w14:paraId="72BA5A46" w14:textId="575D1051" w:rsidR="001B5BFE" w:rsidRDefault="007F3AE2" w:rsidP="007F3AE2">
      <w:pPr>
        <w:rPr>
          <w:rFonts w:hint="eastAsia"/>
        </w:rPr>
      </w:pPr>
      <w:r>
        <w:rPr>
          <w:rFonts w:hint="eastAsia"/>
        </w:rPr>
        <w:t>值得注意的是，几乎在同一时期，另一项基于国际RESTORE登记系统的研究（“Trach and treat”）得出了略有不同的结论，显示部分接受气管切开的SMA患者（包括一些在治疗后仍需气管切开的患者）仍能从OA治疗中获得运动功能的改善。这进一步说明，关于基因疗法在重症SMA患儿中的应用，仍是一个复杂且需要更多数据来回答的问题。而Pongsakornkullachart等人的这篇论文，无疑是拼凑出完整图景中不可或缺、且发人深省的一块。</w:t>
      </w:r>
    </w:p>
    <w:sectPr w:rsidR="001B5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28"/>
    <w:rsid w:val="001128CB"/>
    <w:rsid w:val="001B5BFE"/>
    <w:rsid w:val="00217BFA"/>
    <w:rsid w:val="00253D28"/>
    <w:rsid w:val="004848BF"/>
    <w:rsid w:val="007F3AE2"/>
    <w:rsid w:val="009F6429"/>
    <w:rsid w:val="00F1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47DF19"/>
  <w15:chartTrackingRefBased/>
  <w15:docId w15:val="{82C914F9-CCA3-4322-81F8-0D5625EE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D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D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D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D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 Wu</dc:creator>
  <cp:keywords/>
  <dc:description/>
  <cp:lastModifiedBy>Tars Wu</cp:lastModifiedBy>
  <cp:revision>4</cp:revision>
  <dcterms:created xsi:type="dcterms:W3CDTF">2026-03-13T08:32:00Z</dcterms:created>
  <dcterms:modified xsi:type="dcterms:W3CDTF">2026-03-13T09:25:00Z</dcterms:modified>
</cp:coreProperties>
</file>