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DE44D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297180</wp:posOffset>
            </wp:positionV>
            <wp:extent cx="4212590" cy="3157855"/>
            <wp:effectExtent l="19050" t="0" r="0" b="0"/>
            <wp:wrapNone/>
            <wp:docPr id="9" name="Picture 9" descr="C:\Users\Leon Do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 Do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4A4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2.05pt;margin-top:276.4pt;width:328.3pt;height:245.9pt;z-index:251661312;mso-position-horizontal-relative:text;mso-position-vertical-relative:text">
            <v:imagedata r:id="rId6" o:title=""/>
          </v:shape>
          <o:OLEObject Type="Embed" ProgID="PowerPoint.Show.12" ShapeID="_x0000_s1026" DrawAspect="Content" ObjectID="_1371495961" r:id="rId7"/>
        </w:pict>
      </w:r>
      <w:r w:rsidR="00724A4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222885</wp:posOffset>
            </wp:positionV>
            <wp:extent cx="1107440" cy="1126490"/>
            <wp:effectExtent l="19050" t="0" r="0" b="0"/>
            <wp:wrapNone/>
            <wp:docPr id="10" name="Picture 10" descr="http://upload.wikimedia.org/wikipedia/commons/thumb/a/aa/Heparin-2D-skeletal.png/220px-Heparin-2D-skel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thumb/a/aa/Heparin-2D-skeletal.png/220px-Heparin-2D-skelet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4A4C" w:rsidRPr="00724A4C">
        <w:t xml:space="preserve">Treatment of Thromboembolism </w:t>
      </w:r>
      <w:r w:rsidR="00724A4C">
        <w:t>–</w:t>
      </w:r>
      <w:r w:rsidR="00724A4C" w:rsidRPr="00724A4C">
        <w:t xml:space="preserve"> </w:t>
      </w:r>
      <w:r w:rsidR="00724A4C">
        <w:t xml:space="preserve">Thrombolytic - Direct </w:t>
      </w:r>
    </w:p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Default="00DE44DA"/>
    <w:p w:rsidR="00DE44DA" w:rsidRPr="00DE44DA" w:rsidRDefault="00DE44DA">
      <w:pPr>
        <w:rPr>
          <w:color w:val="FF0000"/>
          <w:sz w:val="28"/>
          <w:szCs w:val="28"/>
        </w:rPr>
      </w:pPr>
      <w:r w:rsidRPr="00DE44DA">
        <w:rPr>
          <w:color w:val="FF0000"/>
          <w:sz w:val="28"/>
          <w:szCs w:val="28"/>
        </w:rPr>
        <w:lastRenderedPageBreak/>
        <w:t>Thrombolytic</w:t>
      </w:r>
    </w:p>
    <w:p w:rsidR="00DE44DA" w:rsidRDefault="00DE44DA" w:rsidP="00DE44DA">
      <w:pPr>
        <w:pStyle w:val="ListParagraph"/>
        <w:numPr>
          <w:ilvl w:val="0"/>
          <w:numId w:val="1"/>
        </w:numPr>
      </w:pPr>
      <w:r>
        <w:t>General: Break and clear existing clots</w:t>
      </w:r>
    </w:p>
    <w:p w:rsidR="00DE44DA" w:rsidRDefault="00DE44DA" w:rsidP="00DE44DA">
      <w:pPr>
        <w:pStyle w:val="ListParagraph"/>
        <w:numPr>
          <w:ilvl w:val="0"/>
          <w:numId w:val="1"/>
        </w:numPr>
      </w:pPr>
      <w:r>
        <w:t>Treat: DVT</w:t>
      </w:r>
      <w:r>
        <w:tab/>
      </w:r>
      <w:r>
        <w:tab/>
      </w:r>
      <w:r>
        <w:tab/>
      </w:r>
      <w:r>
        <w:tab/>
      </w:r>
      <w:r>
        <w:tab/>
      </w:r>
      <w:r>
        <w:tab/>
        <w:t>Deep Vein Thrombosis</w:t>
      </w:r>
    </w:p>
    <w:p w:rsidR="00DE44DA" w:rsidRDefault="00DE44DA" w:rsidP="00DE44DA">
      <w:pPr>
        <w:pStyle w:val="ListParagraph"/>
        <w:numPr>
          <w:ilvl w:val="0"/>
          <w:numId w:val="1"/>
        </w:numPr>
      </w:pPr>
      <w:r>
        <w:t>Drugs:</w:t>
      </w:r>
    </w:p>
    <w:p w:rsidR="00DE44DA" w:rsidRDefault="00DE44DA" w:rsidP="00DE44DA">
      <w:pPr>
        <w:pStyle w:val="ListParagraph"/>
        <w:numPr>
          <w:ilvl w:val="1"/>
          <w:numId w:val="1"/>
        </w:numPr>
      </w:pPr>
      <w:r>
        <w:t>Non-specific</w:t>
      </w:r>
    </w:p>
    <w:p w:rsidR="00DE44DA" w:rsidRDefault="00DE44DA" w:rsidP="00DE44DA">
      <w:pPr>
        <w:pStyle w:val="ListParagraph"/>
        <w:numPr>
          <w:ilvl w:val="2"/>
          <w:numId w:val="1"/>
        </w:numPr>
      </w:pPr>
      <w:r>
        <w:t>Streptokinase</w:t>
      </w:r>
    </w:p>
    <w:p w:rsidR="00DE44DA" w:rsidRDefault="00DE44DA" w:rsidP="00DE44DA">
      <w:pPr>
        <w:pStyle w:val="ListParagraph"/>
        <w:numPr>
          <w:ilvl w:val="2"/>
          <w:numId w:val="1"/>
        </w:numPr>
      </w:pPr>
      <w:r>
        <w:t>Urokinase</w:t>
      </w:r>
    </w:p>
    <w:p w:rsidR="00DE44DA" w:rsidRDefault="00DE44DA" w:rsidP="00DE44DA">
      <w:pPr>
        <w:pStyle w:val="ListParagraph"/>
        <w:numPr>
          <w:ilvl w:val="1"/>
          <w:numId w:val="1"/>
        </w:numPr>
      </w:pPr>
      <w:r>
        <w:t>Specific</w:t>
      </w:r>
    </w:p>
    <w:p w:rsidR="00DE44DA" w:rsidRDefault="00DE44DA" w:rsidP="00DE44DA">
      <w:pPr>
        <w:pStyle w:val="ListParagraph"/>
        <w:numPr>
          <w:ilvl w:val="2"/>
          <w:numId w:val="1"/>
        </w:numPr>
      </w:pPr>
      <w:r>
        <w:t>Tpa (Alteplase)</w:t>
      </w:r>
    </w:p>
    <w:p w:rsidR="00DE44DA" w:rsidRDefault="00DE44DA" w:rsidP="00DE44DA">
      <w:pPr>
        <w:pStyle w:val="ListParagraph"/>
        <w:numPr>
          <w:ilvl w:val="2"/>
          <w:numId w:val="1"/>
        </w:numPr>
      </w:pPr>
      <w:r>
        <w:t>Rpa (Reteplase)</w:t>
      </w:r>
    </w:p>
    <w:p w:rsidR="00DE44DA" w:rsidRDefault="00DE44DA" w:rsidP="00DE44DA">
      <w:pPr>
        <w:pStyle w:val="ListParagraph"/>
        <w:numPr>
          <w:ilvl w:val="2"/>
          <w:numId w:val="1"/>
        </w:numPr>
      </w:pPr>
      <w:r>
        <w:t>TnKase (Tenecteplase)</w:t>
      </w:r>
    </w:p>
    <w:p w:rsidR="00DE44DA" w:rsidRDefault="00DE44DA" w:rsidP="00DE44DA">
      <w:pPr>
        <w:pStyle w:val="ListParagraph"/>
        <w:ind w:left="1800"/>
      </w:pPr>
    </w:p>
    <w:p w:rsidR="00DE44DA" w:rsidRPr="000F1412" w:rsidRDefault="00DE44DA" w:rsidP="00DE44DA">
      <w:pPr>
        <w:rPr>
          <w:color w:val="FF0000"/>
          <w:sz w:val="28"/>
          <w:szCs w:val="28"/>
        </w:rPr>
      </w:pPr>
      <w:r w:rsidRPr="000F1412">
        <w:rPr>
          <w:color w:val="FF0000"/>
          <w:sz w:val="28"/>
          <w:szCs w:val="28"/>
        </w:rPr>
        <w:t>Treatment of DVT/PE</w:t>
      </w:r>
    </w:p>
    <w:p w:rsidR="00DE44DA" w:rsidRDefault="00DE44DA" w:rsidP="00DE44DA">
      <w:pPr>
        <w:pStyle w:val="ListParagraph"/>
        <w:numPr>
          <w:ilvl w:val="0"/>
          <w:numId w:val="2"/>
        </w:numPr>
      </w:pPr>
      <w:r>
        <w:t xml:space="preserve">DVT = </w:t>
      </w:r>
      <w:r w:rsidRPr="004F31C2">
        <w:t>Deep Vein Thrombophlebitis</w:t>
      </w:r>
      <w:r w:rsidR="00450770">
        <w:tab/>
      </w:r>
      <w:r w:rsidR="00450770">
        <w:tab/>
      </w:r>
      <w:r w:rsidR="00450770">
        <w:tab/>
        <w:t>thrombosis deep inside body</w:t>
      </w:r>
    </w:p>
    <w:p w:rsidR="002521DD" w:rsidRDefault="002521DD" w:rsidP="002521DD">
      <w:pPr>
        <w:pStyle w:val="ListParagraph"/>
        <w:numPr>
          <w:ilvl w:val="1"/>
          <w:numId w:val="2"/>
        </w:numPr>
      </w:pPr>
      <w:r>
        <w:t>Post-</w:t>
      </w:r>
      <w:r w:rsidR="00450770">
        <w:t>Phlebitic</w:t>
      </w:r>
      <w:r>
        <w:t xml:space="preserve"> Syndrome: </w:t>
      </w:r>
      <w:r>
        <w:tab/>
      </w:r>
      <w:r>
        <w:tab/>
      </w:r>
      <w:r>
        <w:tab/>
        <w:t>Chronic version</w:t>
      </w:r>
    </w:p>
    <w:p w:rsidR="000B54EE" w:rsidRDefault="00DE44DA" w:rsidP="000B54EE">
      <w:pPr>
        <w:pStyle w:val="ListParagraph"/>
        <w:numPr>
          <w:ilvl w:val="0"/>
          <w:numId w:val="2"/>
        </w:numPr>
      </w:pPr>
      <w:r>
        <w:t>PE = Pulmonary Embolism</w:t>
      </w:r>
      <w:r w:rsidR="00450770">
        <w:tab/>
      </w:r>
      <w:r w:rsidR="00450770">
        <w:tab/>
      </w:r>
      <w:r w:rsidR="00450770">
        <w:tab/>
      </w:r>
      <w:r w:rsidR="00450770">
        <w:tab/>
        <w:t>main artery of lung (heart to lung)</w:t>
      </w:r>
    </w:p>
    <w:p w:rsidR="000B54EE" w:rsidRDefault="000B54EE" w:rsidP="000B54EE">
      <w:pPr>
        <w:pStyle w:val="ListParagraph"/>
        <w:numPr>
          <w:ilvl w:val="0"/>
          <w:numId w:val="2"/>
        </w:numPr>
      </w:pPr>
      <w:r>
        <w:t xml:space="preserve">Test = positive to </w:t>
      </w:r>
      <w:r w:rsidR="0009419E">
        <w:t>thromboembolism</w:t>
      </w:r>
    </w:p>
    <w:p w:rsidR="0009419E" w:rsidRDefault="0009419E" w:rsidP="0009419E">
      <w:pPr>
        <w:pStyle w:val="ListParagraph"/>
        <w:numPr>
          <w:ilvl w:val="1"/>
          <w:numId w:val="2"/>
        </w:numPr>
      </w:pPr>
      <w:r>
        <w:t>Anticoagulant</w:t>
      </w:r>
    </w:p>
    <w:p w:rsidR="0009419E" w:rsidRDefault="0009419E" w:rsidP="0009419E">
      <w:pPr>
        <w:pStyle w:val="ListParagraph"/>
        <w:numPr>
          <w:ilvl w:val="2"/>
          <w:numId w:val="2"/>
        </w:numPr>
      </w:pPr>
      <w:r>
        <w:t>If contraindicated to heparin</w:t>
      </w:r>
      <w:r>
        <w:tab/>
        <w:t>inferior vena caval filter</w:t>
      </w:r>
    </w:p>
    <w:p w:rsidR="0009419E" w:rsidRDefault="0009419E" w:rsidP="0009419E">
      <w:pPr>
        <w:pStyle w:val="ListParagraph"/>
        <w:numPr>
          <w:ilvl w:val="1"/>
          <w:numId w:val="2"/>
        </w:numPr>
      </w:pPr>
      <w:r>
        <w:t>If PE…</w:t>
      </w:r>
    </w:p>
    <w:p w:rsidR="0009419E" w:rsidRDefault="0009419E" w:rsidP="0009419E">
      <w:pPr>
        <w:pStyle w:val="ListParagraph"/>
        <w:numPr>
          <w:ilvl w:val="2"/>
          <w:numId w:val="2"/>
        </w:numPr>
      </w:pPr>
      <w:r>
        <w:t>Thrombolytic therapy</w:t>
      </w:r>
    </w:p>
    <w:p w:rsidR="0009419E" w:rsidRDefault="0009419E" w:rsidP="0009419E">
      <w:pPr>
        <w:pStyle w:val="ListParagraph"/>
        <w:numPr>
          <w:ilvl w:val="2"/>
          <w:numId w:val="2"/>
        </w:numPr>
      </w:pPr>
      <w:r>
        <w:t>If contraindicated to thrombolytic</w:t>
      </w:r>
      <w:r>
        <w:tab/>
        <w:t>IV Warfarin + Heparin</w:t>
      </w:r>
    </w:p>
    <w:p w:rsidR="00DE44DA" w:rsidRDefault="00DE44DA" w:rsidP="00DE44DA">
      <w:pPr>
        <w:pStyle w:val="ListParagraph"/>
        <w:ind w:left="360"/>
      </w:pPr>
    </w:p>
    <w:p w:rsidR="00DE44DA" w:rsidRPr="00515FB9" w:rsidRDefault="00DE44DA" w:rsidP="00DE44DA">
      <w:pPr>
        <w:pStyle w:val="ListParagraph"/>
        <w:spacing w:line="240" w:lineRule="auto"/>
        <w:ind w:left="2520" w:firstLine="360"/>
        <w:rPr>
          <w:b/>
          <w:i/>
        </w:rPr>
      </w:pPr>
      <w:r w:rsidRPr="00515FB9">
        <w:rPr>
          <w:b/>
          <w:i/>
        </w:rPr>
        <w:t>Methods of DVT Prophylaxis</w:t>
      </w:r>
    </w:p>
    <w:tbl>
      <w:tblPr>
        <w:tblW w:w="9576" w:type="dxa"/>
        <w:tblInd w:w="-72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2520"/>
        <w:gridCol w:w="7056"/>
      </w:tblGrid>
      <w:tr w:rsidR="00DE44DA" w:rsidTr="00FE7E87"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</w:tcPr>
          <w:p w:rsidR="00DE44DA" w:rsidRDefault="00DE44DA" w:rsidP="00FE7E87">
            <w:pPr>
              <w:pStyle w:val="Footer"/>
              <w:tabs>
                <w:tab w:val="clear" w:pos="4320"/>
                <w:tab w:val="clear" w:pos="8640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056" w:type="dxa"/>
            <w:tcBorders>
              <w:top w:val="single" w:sz="18" w:space="0" w:color="auto"/>
              <w:bottom w:val="single" w:sz="18" w:space="0" w:color="auto"/>
            </w:tcBorders>
          </w:tcPr>
          <w:p w:rsidR="00DE44DA" w:rsidRDefault="00DE44DA" w:rsidP="00FE7E87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44DA" w:rsidTr="00FE7E87">
        <w:tc>
          <w:tcPr>
            <w:tcW w:w="2520" w:type="dxa"/>
            <w:tcBorders>
              <w:top w:val="nil"/>
            </w:tcBorders>
          </w:tcPr>
          <w:p w:rsidR="00DE44DA" w:rsidRPr="00AB5296" w:rsidRDefault="00DE44DA" w:rsidP="00FE7E87">
            <w:pPr>
              <w:spacing w:line="240" w:lineRule="auto"/>
              <w:contextualSpacing/>
              <w:rPr>
                <w:b/>
                <w:color w:val="FF0000"/>
              </w:rPr>
            </w:pPr>
            <w:r w:rsidRPr="00AB5296">
              <w:rPr>
                <w:b/>
                <w:color w:val="FF0000"/>
              </w:rPr>
              <w:t>Low Dose UFH</w:t>
            </w:r>
          </w:p>
        </w:tc>
        <w:tc>
          <w:tcPr>
            <w:tcW w:w="7056" w:type="dxa"/>
            <w:tcBorders>
              <w:top w:val="nil"/>
            </w:tcBorders>
          </w:tcPr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 xml:space="preserve">5,000 U heparin  </w:t>
            </w:r>
            <w:r w:rsidRPr="00AB5296">
              <w:rPr>
                <w:color w:val="FF0000"/>
                <w:u w:val="single"/>
              </w:rPr>
              <w:t>SQ q8-12hrs</w:t>
            </w:r>
            <w:r>
              <w:rPr>
                <w:color w:val="FF0000"/>
              </w:rPr>
              <w:t xml:space="preserve"> (DO NOT CHECK PTT)</w:t>
            </w:r>
          </w:p>
          <w:p w:rsidR="00DE44DA" w:rsidRDefault="00DE44DA" w:rsidP="00FE7E87">
            <w:pPr>
              <w:spacing w:line="240" w:lineRule="auto"/>
              <w:contextualSpacing/>
            </w:pPr>
          </w:p>
        </w:tc>
      </w:tr>
      <w:tr w:rsidR="00DE44DA" w:rsidRPr="000476C4" w:rsidTr="00FE7E87">
        <w:tc>
          <w:tcPr>
            <w:tcW w:w="2520" w:type="dxa"/>
          </w:tcPr>
          <w:p w:rsidR="00DE44DA" w:rsidRDefault="00DE44DA" w:rsidP="00FE7E87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LMWH </w:t>
            </w:r>
          </w:p>
        </w:tc>
        <w:tc>
          <w:tcPr>
            <w:tcW w:w="7056" w:type="dxa"/>
          </w:tcPr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>Dalteparin 2500 IU SQ Daily (medical pts)</w:t>
            </w:r>
          </w:p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 xml:space="preserve">                  5000 IU SQ daily (surgical pts)</w:t>
            </w:r>
          </w:p>
          <w:p w:rsidR="00DE44DA" w:rsidRDefault="00DE44DA" w:rsidP="00FE7E87">
            <w:pPr>
              <w:spacing w:line="240" w:lineRule="auto"/>
              <w:contextualSpacing/>
            </w:pPr>
            <w:r>
              <w:t xml:space="preserve">                   Don’t use if CrCl &lt; 30 ml/min</w:t>
            </w:r>
          </w:p>
          <w:p w:rsidR="00DE44DA" w:rsidRDefault="00DE44DA" w:rsidP="00FE7E87">
            <w:pPr>
              <w:spacing w:line="240" w:lineRule="auto"/>
              <w:contextualSpacing/>
            </w:pPr>
          </w:p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>Enoxaparin:  30 mg SQ Q12 hrs (Orthopedic and high risk surgery)</w:t>
            </w:r>
          </w:p>
          <w:p w:rsidR="00DE44DA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 xml:space="preserve">                      30 mg SQ Daily (CrCl  10-30 ml/min)</w:t>
            </w:r>
          </w:p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                      </w:t>
            </w:r>
            <w:r w:rsidRPr="00AB5296">
              <w:rPr>
                <w:color w:val="FF0000"/>
              </w:rPr>
              <w:t>40 mg SQ Daily (Medical patients)</w:t>
            </w:r>
          </w:p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 xml:space="preserve">                      </w:t>
            </w:r>
          </w:p>
          <w:p w:rsidR="00DE44DA" w:rsidRPr="000476C4" w:rsidRDefault="00DE44DA" w:rsidP="00FE7E87">
            <w:pPr>
              <w:spacing w:line="240" w:lineRule="auto"/>
              <w:contextualSpacing/>
            </w:pPr>
          </w:p>
        </w:tc>
      </w:tr>
      <w:tr w:rsidR="00DE44DA" w:rsidTr="00FE7E87">
        <w:tc>
          <w:tcPr>
            <w:tcW w:w="2520" w:type="dxa"/>
          </w:tcPr>
          <w:p w:rsidR="00DE44DA" w:rsidRDefault="00DE44DA" w:rsidP="00FE7E87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Pentasaccharides</w:t>
            </w:r>
          </w:p>
          <w:p w:rsidR="00DE44DA" w:rsidRDefault="00DE44DA" w:rsidP="00FE7E87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</w:t>
            </w:r>
            <w:r w:rsidRPr="009655FE">
              <w:rPr>
                <w:b/>
                <w:sz w:val="16"/>
                <w:szCs w:val="16"/>
              </w:rPr>
              <w:t>(5/2 = 2.5)</w:t>
            </w:r>
          </w:p>
        </w:tc>
        <w:tc>
          <w:tcPr>
            <w:tcW w:w="7056" w:type="dxa"/>
          </w:tcPr>
          <w:p w:rsidR="00DE44DA" w:rsidRDefault="00DE44DA" w:rsidP="00FE7E87">
            <w:pPr>
              <w:spacing w:line="240" w:lineRule="auto"/>
              <w:contextualSpacing/>
            </w:pPr>
            <w:r>
              <w:t>Fondaparinux  2.5 mg SQ Daily</w:t>
            </w:r>
          </w:p>
          <w:p w:rsidR="00DE44DA" w:rsidRDefault="00DE44DA" w:rsidP="00FE7E87">
            <w:pPr>
              <w:spacing w:line="240" w:lineRule="auto"/>
              <w:contextualSpacing/>
            </w:pPr>
            <w:r>
              <w:t xml:space="preserve">                        Don’t use if CrCl &lt; 30 ml/min or weight &lt; 50kg</w:t>
            </w:r>
          </w:p>
          <w:p w:rsidR="00DE44DA" w:rsidRDefault="00DE44DA" w:rsidP="00FE7E87">
            <w:pPr>
              <w:spacing w:line="240" w:lineRule="auto"/>
              <w:contextualSpacing/>
            </w:pPr>
          </w:p>
        </w:tc>
      </w:tr>
      <w:tr w:rsidR="00DE44DA" w:rsidTr="00FE7E87">
        <w:tc>
          <w:tcPr>
            <w:tcW w:w="2520" w:type="dxa"/>
          </w:tcPr>
          <w:p w:rsidR="00DE44DA" w:rsidRDefault="00DE44DA" w:rsidP="00FE7E87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Adjusted-dose perioperative warfarin</w:t>
            </w:r>
          </w:p>
        </w:tc>
        <w:tc>
          <w:tcPr>
            <w:tcW w:w="7056" w:type="dxa"/>
          </w:tcPr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 xml:space="preserve">Start daily dose (5 mg) the day of or the day after operation; </w:t>
            </w:r>
          </w:p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>adjust dose for INR 2-3</w:t>
            </w:r>
          </w:p>
          <w:p w:rsidR="00DE44DA" w:rsidRDefault="00DE44DA" w:rsidP="00FE7E87">
            <w:pPr>
              <w:spacing w:line="240" w:lineRule="auto"/>
              <w:contextualSpacing/>
            </w:pPr>
          </w:p>
          <w:p w:rsidR="00DE44DA" w:rsidRDefault="00DE44DA" w:rsidP="00FE7E87">
            <w:pPr>
              <w:spacing w:line="240" w:lineRule="auto"/>
              <w:contextualSpacing/>
            </w:pPr>
          </w:p>
        </w:tc>
      </w:tr>
      <w:tr w:rsidR="00DE44DA" w:rsidTr="00FE7E87">
        <w:tc>
          <w:tcPr>
            <w:tcW w:w="2520" w:type="dxa"/>
          </w:tcPr>
          <w:p w:rsidR="00DE44DA" w:rsidRDefault="00DE44DA" w:rsidP="00FE7E87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Minidose warfarin</w:t>
            </w:r>
          </w:p>
        </w:tc>
        <w:tc>
          <w:tcPr>
            <w:tcW w:w="7056" w:type="dxa"/>
          </w:tcPr>
          <w:p w:rsidR="00DE44DA" w:rsidRDefault="00DE44DA" w:rsidP="00FE7E87">
            <w:pPr>
              <w:spacing w:line="240" w:lineRule="auto"/>
              <w:contextualSpacing/>
            </w:pPr>
            <w:r>
              <w:t>Start 1 mg/d aiming for INR = 1.5 after operation (</w:t>
            </w:r>
            <w:r w:rsidRPr="00AB5296">
              <w:rPr>
                <w:color w:val="FF0000"/>
              </w:rPr>
              <w:t>evidence is poor</w:t>
            </w:r>
            <w:r>
              <w:t>)</w:t>
            </w:r>
          </w:p>
          <w:p w:rsidR="00DE44DA" w:rsidRDefault="00DE44DA" w:rsidP="00FE7E87">
            <w:pPr>
              <w:spacing w:line="240" w:lineRule="auto"/>
              <w:contextualSpacing/>
            </w:pPr>
          </w:p>
        </w:tc>
      </w:tr>
      <w:tr w:rsidR="00DE44DA" w:rsidTr="00FE7E87">
        <w:tc>
          <w:tcPr>
            <w:tcW w:w="2520" w:type="dxa"/>
          </w:tcPr>
          <w:p w:rsidR="00DE44DA" w:rsidRDefault="00DE44DA" w:rsidP="00FE7E87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Intermittent Pneumatic </w:t>
            </w:r>
            <w:r>
              <w:rPr>
                <w:b/>
              </w:rPr>
              <w:lastRenderedPageBreak/>
              <w:t>Compression (IPC)/Graded Compression Stockings (GCS)</w:t>
            </w:r>
          </w:p>
        </w:tc>
        <w:tc>
          <w:tcPr>
            <w:tcW w:w="7056" w:type="dxa"/>
          </w:tcPr>
          <w:p w:rsidR="00DE44DA" w:rsidRDefault="00DE44DA" w:rsidP="00FE7E87">
            <w:pPr>
              <w:spacing w:line="240" w:lineRule="auto"/>
              <w:contextualSpacing/>
            </w:pPr>
            <w:r>
              <w:lastRenderedPageBreak/>
              <w:t xml:space="preserve">Start immediately before operation, and continue until fully </w:t>
            </w:r>
          </w:p>
          <w:p w:rsidR="00DE44DA" w:rsidRDefault="00DE44DA" w:rsidP="00FE7E87">
            <w:pPr>
              <w:spacing w:line="240" w:lineRule="auto"/>
              <w:contextualSpacing/>
            </w:pPr>
            <w:r>
              <w:lastRenderedPageBreak/>
              <w:t>ambulatory, usually adjunctive therapy with pharmacologic therapy</w:t>
            </w:r>
          </w:p>
          <w:p w:rsidR="00DE44DA" w:rsidRPr="00AB5296" w:rsidRDefault="00DE44DA" w:rsidP="00FE7E87">
            <w:pPr>
              <w:spacing w:line="240" w:lineRule="auto"/>
              <w:contextualSpacing/>
              <w:rPr>
                <w:color w:val="FF0000"/>
              </w:rPr>
            </w:pPr>
            <w:r w:rsidRPr="00AB5296">
              <w:rPr>
                <w:color w:val="FF0000"/>
              </w:rPr>
              <w:t xml:space="preserve">who are high risk of bleeding </w:t>
            </w:r>
          </w:p>
        </w:tc>
      </w:tr>
    </w:tbl>
    <w:p w:rsidR="00DE44DA" w:rsidRDefault="00DE44DA" w:rsidP="00DE44DA">
      <w:pPr>
        <w:pStyle w:val="ListParagraph"/>
        <w:ind w:left="360"/>
      </w:pPr>
    </w:p>
    <w:p w:rsidR="00DE44DA" w:rsidRDefault="00DE44DA" w:rsidP="00DE44DA"/>
    <w:sectPr w:rsidR="00DE44DA" w:rsidSect="00724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28BD"/>
    <w:multiLevelType w:val="hybridMultilevel"/>
    <w:tmpl w:val="6EE00E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9B3E78"/>
    <w:multiLevelType w:val="hybridMultilevel"/>
    <w:tmpl w:val="74E879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24A4C"/>
    <w:rsid w:val="0009419E"/>
    <w:rsid w:val="000B54EE"/>
    <w:rsid w:val="00180B09"/>
    <w:rsid w:val="001D2B42"/>
    <w:rsid w:val="001E34D7"/>
    <w:rsid w:val="002521DD"/>
    <w:rsid w:val="0042128F"/>
    <w:rsid w:val="00450770"/>
    <w:rsid w:val="00585D83"/>
    <w:rsid w:val="00724A4C"/>
    <w:rsid w:val="00905FDA"/>
    <w:rsid w:val="009E0463"/>
    <w:rsid w:val="00A64A82"/>
    <w:rsid w:val="00A806A9"/>
    <w:rsid w:val="00B203C1"/>
    <w:rsid w:val="00DE44DA"/>
    <w:rsid w:val="00E8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DA"/>
    <w:pPr>
      <w:ind w:left="720"/>
      <w:contextualSpacing/>
    </w:pPr>
  </w:style>
  <w:style w:type="paragraph" w:styleId="Footer">
    <w:name w:val="footer"/>
    <w:basedOn w:val="Normal"/>
    <w:link w:val="FooterChar"/>
    <w:rsid w:val="00DE44D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E44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Office_PowerPoint_Presentation1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4</cp:revision>
  <dcterms:created xsi:type="dcterms:W3CDTF">2011-07-07T01:57:00Z</dcterms:created>
  <dcterms:modified xsi:type="dcterms:W3CDTF">2011-07-07T02:19:00Z</dcterms:modified>
</cp:coreProperties>
</file>