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F34" w:rsidRPr="009D4746" w:rsidRDefault="00814566" w:rsidP="00603B6B">
      <w:pPr>
        <w:spacing w:line="360" w:lineRule="auto"/>
        <w:rPr>
          <w:rFonts w:ascii="Arial" w:hAnsi="Arial" w:cs="Arial"/>
          <w:sz w:val="24"/>
          <w:szCs w:val="24"/>
        </w:rPr>
      </w:pPr>
      <w:r w:rsidRPr="009D4746">
        <w:rPr>
          <w:rFonts w:ascii="Arial" w:hAnsi="Arial" w:cs="Arial"/>
          <w:sz w:val="24"/>
          <w:szCs w:val="24"/>
        </w:rPr>
        <w:t>Smoking Cessation- Self Taught Topic</w:t>
      </w:r>
    </w:p>
    <w:p w:rsidR="00B70763" w:rsidRPr="00F2252B" w:rsidRDefault="00814566" w:rsidP="00603B6B">
      <w:pPr>
        <w:numPr>
          <w:ilvl w:val="0"/>
          <w:numId w:val="1"/>
        </w:numPr>
        <w:spacing w:after="0" w:line="360" w:lineRule="auto"/>
        <w:rPr>
          <w:rFonts w:ascii="Arial" w:hAnsi="Arial" w:cs="Arial"/>
          <w:sz w:val="24"/>
          <w:szCs w:val="24"/>
          <w:highlight w:val="yellow"/>
        </w:rPr>
      </w:pPr>
      <w:r w:rsidRPr="00F2252B">
        <w:rPr>
          <w:rFonts w:ascii="Arial" w:hAnsi="Arial" w:cs="Arial"/>
          <w:sz w:val="24"/>
          <w:szCs w:val="24"/>
          <w:highlight w:val="yellow"/>
        </w:rPr>
        <w:t>Know the health risks for using tobacco and benefits of quitting.</w:t>
      </w:r>
    </w:p>
    <w:p w:rsidR="009D4746" w:rsidRPr="009D4746" w:rsidRDefault="009D4746" w:rsidP="00603B6B">
      <w:pPr>
        <w:numPr>
          <w:ilvl w:val="1"/>
          <w:numId w:val="1"/>
        </w:numPr>
        <w:spacing w:after="0" w:line="360" w:lineRule="auto"/>
        <w:rPr>
          <w:rFonts w:ascii="Arial" w:hAnsi="Arial" w:cs="Arial"/>
          <w:b/>
          <w:sz w:val="24"/>
          <w:szCs w:val="24"/>
        </w:rPr>
      </w:pPr>
      <w:r w:rsidRPr="009D4746">
        <w:rPr>
          <w:rFonts w:ascii="Arial" w:hAnsi="Arial" w:cs="Arial"/>
          <w:b/>
          <w:sz w:val="24"/>
          <w:szCs w:val="24"/>
        </w:rPr>
        <w:t>Health Risks:</w:t>
      </w:r>
    </w:p>
    <w:p w:rsidR="00B70763" w:rsidRPr="009D4746" w:rsidRDefault="00B70763" w:rsidP="00603B6B">
      <w:pPr>
        <w:numPr>
          <w:ilvl w:val="2"/>
          <w:numId w:val="1"/>
        </w:numPr>
        <w:spacing w:after="0" w:line="360" w:lineRule="auto"/>
        <w:rPr>
          <w:rFonts w:ascii="Arial" w:hAnsi="Arial" w:cs="Arial"/>
          <w:sz w:val="24"/>
          <w:szCs w:val="24"/>
        </w:rPr>
      </w:pPr>
      <w:r w:rsidRPr="009D4746">
        <w:rPr>
          <w:rFonts w:ascii="Arial" w:hAnsi="Arial" w:cs="Arial"/>
          <w:sz w:val="24"/>
          <w:szCs w:val="24"/>
        </w:rPr>
        <w:t>Tobacco is the single greatest cause of disease and premature death in America today, and is responsible for more than 435,000 deaths annually</w:t>
      </w:r>
      <w:r w:rsidR="00F77E69" w:rsidRPr="009D4746">
        <w:rPr>
          <w:rFonts w:ascii="Arial" w:hAnsi="Arial" w:cs="Arial"/>
          <w:sz w:val="24"/>
          <w:szCs w:val="24"/>
        </w:rPr>
        <w:t>.</w:t>
      </w:r>
    </w:p>
    <w:p w:rsidR="00646A6D" w:rsidRPr="009D4746" w:rsidRDefault="00646A6D" w:rsidP="00603B6B">
      <w:pPr>
        <w:numPr>
          <w:ilvl w:val="2"/>
          <w:numId w:val="1"/>
        </w:numPr>
        <w:spacing w:after="0" w:line="360" w:lineRule="auto"/>
        <w:rPr>
          <w:rFonts w:ascii="Arial" w:hAnsi="Arial" w:cs="Arial"/>
          <w:sz w:val="24"/>
          <w:szCs w:val="24"/>
        </w:rPr>
      </w:pPr>
      <w:r w:rsidRPr="009D4746">
        <w:rPr>
          <w:rFonts w:ascii="Arial" w:hAnsi="Arial" w:cs="Arial"/>
          <w:sz w:val="24"/>
          <w:szCs w:val="24"/>
        </w:rPr>
        <w:t>Smoking is a major risk factor for cardiovascular disease.</w:t>
      </w:r>
    </w:p>
    <w:p w:rsidR="009D4746" w:rsidRP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Smoking contains polycyclic aromatic hydrocarbons</w:t>
      </w:r>
      <w:r w:rsidR="001E2998">
        <w:rPr>
          <w:rFonts w:ascii="Arial" w:hAnsi="Arial" w:cs="Arial"/>
          <w:sz w:val="24"/>
          <w:szCs w:val="24"/>
        </w:rPr>
        <w:t xml:space="preserve"> (PAHs)</w:t>
      </w:r>
      <w:r w:rsidRPr="009D4746">
        <w:rPr>
          <w:rFonts w:ascii="Arial" w:hAnsi="Arial" w:cs="Arial"/>
          <w:sz w:val="24"/>
          <w:szCs w:val="24"/>
        </w:rPr>
        <w:t xml:space="preserve"> which are potent </w:t>
      </w:r>
      <w:r w:rsidRPr="00E6705F">
        <w:rPr>
          <w:rFonts w:ascii="Arial" w:hAnsi="Arial" w:cs="Arial"/>
          <w:sz w:val="24"/>
          <w:szCs w:val="24"/>
          <w:highlight w:val="yellow"/>
        </w:rPr>
        <w:t>inducers</w:t>
      </w:r>
      <w:r w:rsidRPr="009D4746">
        <w:rPr>
          <w:rFonts w:ascii="Arial" w:hAnsi="Arial" w:cs="Arial"/>
          <w:sz w:val="24"/>
          <w:szCs w:val="24"/>
        </w:rPr>
        <w:t xml:space="preserve"> of several hepatic cytochrome P450 microsomal enzymes (CYP1A1, </w:t>
      </w:r>
      <w:r w:rsidRPr="001E2998">
        <w:rPr>
          <w:rFonts w:ascii="Arial" w:hAnsi="Arial" w:cs="Arial"/>
          <w:b/>
          <w:sz w:val="24"/>
          <w:szCs w:val="24"/>
        </w:rPr>
        <w:t>CYP1A2</w:t>
      </w:r>
      <w:r w:rsidRPr="009D4746">
        <w:rPr>
          <w:rFonts w:ascii="Arial" w:hAnsi="Arial" w:cs="Arial"/>
          <w:sz w:val="24"/>
          <w:szCs w:val="24"/>
        </w:rPr>
        <w:t>, and possibly CYP2E1).- cause drug interactions</w:t>
      </w:r>
    </w:p>
    <w:p w:rsidR="009D4746" w:rsidRP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Among current smokers, chronic bronchitis is the most common condition (49%), followed by emphysema (24%)- also lung cancer.</w:t>
      </w:r>
    </w:p>
    <w:p w:rsidR="009D4746" w:rsidRP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On average, cigarette smokers die approximately 10 years younger than do nonsmokers, and among those who continue smoking, at least half will die due to a tobacco-related disease.</w:t>
      </w:r>
    </w:p>
    <w:p w:rsidR="009D4746" w:rsidRPr="009D4746" w:rsidRDefault="009D4746" w:rsidP="00603B6B">
      <w:pPr>
        <w:numPr>
          <w:ilvl w:val="1"/>
          <w:numId w:val="1"/>
        </w:numPr>
        <w:spacing w:after="0" w:line="360" w:lineRule="auto"/>
        <w:rPr>
          <w:rFonts w:ascii="Arial" w:hAnsi="Arial" w:cs="Arial"/>
          <w:b/>
          <w:sz w:val="24"/>
          <w:szCs w:val="24"/>
        </w:rPr>
      </w:pPr>
      <w:r w:rsidRPr="009D4746">
        <w:rPr>
          <w:rFonts w:ascii="Arial" w:hAnsi="Arial" w:cs="Arial"/>
          <w:b/>
          <w:sz w:val="24"/>
          <w:szCs w:val="24"/>
        </w:rPr>
        <w:t>Benefits:</w:t>
      </w:r>
    </w:p>
    <w:p w:rsidR="009D4746" w:rsidRP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Improvements in pulmonary function, circulation, and ambulation.</w:t>
      </w:r>
    </w:p>
    <w:p w:rsidR="009D4746" w:rsidRP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Decreased coughing, sinus congestion, fatigue, shortness of breath, and risk of pulmonary infection.</w:t>
      </w:r>
    </w:p>
    <w:p w:rsidR="009D4746" w:rsidRPr="00E6705F" w:rsidRDefault="009D4746" w:rsidP="00603B6B">
      <w:pPr>
        <w:numPr>
          <w:ilvl w:val="2"/>
          <w:numId w:val="1"/>
        </w:numPr>
        <w:spacing w:after="0" w:line="360" w:lineRule="auto"/>
        <w:rPr>
          <w:rFonts w:ascii="Arial" w:hAnsi="Arial" w:cs="Arial"/>
          <w:sz w:val="24"/>
          <w:szCs w:val="24"/>
          <w:highlight w:val="yellow"/>
        </w:rPr>
      </w:pPr>
      <w:r w:rsidRPr="00E6705F">
        <w:rPr>
          <w:rFonts w:ascii="Arial" w:hAnsi="Arial" w:cs="Arial"/>
          <w:sz w:val="24"/>
          <w:szCs w:val="24"/>
          <w:highlight w:val="yellow"/>
        </w:rPr>
        <w:t>One year after cessation, the excess risk of coronary heart disease is reduced to half that of continuing smokers.</w:t>
      </w:r>
    </w:p>
    <w:p w:rsidR="009D4746" w:rsidRPr="00E6705F" w:rsidRDefault="009D4746" w:rsidP="00603B6B">
      <w:pPr>
        <w:numPr>
          <w:ilvl w:val="2"/>
          <w:numId w:val="1"/>
        </w:numPr>
        <w:spacing w:after="0" w:line="360" w:lineRule="auto"/>
        <w:rPr>
          <w:rFonts w:ascii="Arial" w:hAnsi="Arial" w:cs="Arial"/>
          <w:sz w:val="24"/>
          <w:szCs w:val="24"/>
          <w:highlight w:val="yellow"/>
        </w:rPr>
      </w:pPr>
      <w:r w:rsidRPr="00E6705F">
        <w:rPr>
          <w:rFonts w:ascii="Arial" w:hAnsi="Arial" w:cs="Arial"/>
          <w:sz w:val="24"/>
          <w:szCs w:val="24"/>
          <w:highlight w:val="yellow"/>
        </w:rPr>
        <w:t xml:space="preserve">After 5 to 15 years, </w:t>
      </w:r>
      <w:r w:rsidRPr="00E6705F">
        <w:rPr>
          <w:rFonts w:ascii="Arial" w:hAnsi="Arial" w:cs="Arial"/>
          <w:b/>
          <w:sz w:val="24"/>
          <w:szCs w:val="24"/>
          <w:highlight w:val="yellow"/>
        </w:rPr>
        <w:t>the risk of stroke</w:t>
      </w:r>
      <w:r w:rsidRPr="00E6705F">
        <w:rPr>
          <w:rFonts w:ascii="Arial" w:hAnsi="Arial" w:cs="Arial"/>
          <w:sz w:val="24"/>
          <w:szCs w:val="24"/>
          <w:highlight w:val="yellow"/>
        </w:rPr>
        <w:t xml:space="preserve"> is reduced to a rate similar to that of people who are lifetime nonsmokers.</w:t>
      </w:r>
    </w:p>
    <w:p w:rsidR="009D4746" w:rsidRDefault="009D4746" w:rsidP="00603B6B">
      <w:pPr>
        <w:numPr>
          <w:ilvl w:val="2"/>
          <w:numId w:val="1"/>
        </w:numPr>
        <w:spacing w:after="0" w:line="360" w:lineRule="auto"/>
        <w:rPr>
          <w:rFonts w:ascii="Arial" w:hAnsi="Arial" w:cs="Arial"/>
          <w:sz w:val="24"/>
          <w:szCs w:val="24"/>
        </w:rPr>
      </w:pPr>
      <w:r w:rsidRPr="009D4746">
        <w:rPr>
          <w:rFonts w:ascii="Arial" w:hAnsi="Arial" w:cs="Arial"/>
          <w:sz w:val="24"/>
          <w:szCs w:val="24"/>
        </w:rPr>
        <w:t>10 years after quitting, the chance of dying of lung cancer is approximately half that of continuing smokers.</w:t>
      </w:r>
    </w:p>
    <w:p w:rsidR="009A4919" w:rsidRPr="009D4746" w:rsidRDefault="009A4919" w:rsidP="00603B6B">
      <w:pPr>
        <w:spacing w:after="0" w:line="360" w:lineRule="auto"/>
        <w:ind w:left="1440"/>
        <w:rPr>
          <w:rFonts w:ascii="Arial" w:hAnsi="Arial" w:cs="Arial"/>
          <w:sz w:val="24"/>
          <w:szCs w:val="24"/>
        </w:rPr>
      </w:pPr>
    </w:p>
    <w:p w:rsidR="00B70763" w:rsidRPr="00F2252B" w:rsidRDefault="00B70763" w:rsidP="00603B6B">
      <w:pPr>
        <w:numPr>
          <w:ilvl w:val="0"/>
          <w:numId w:val="1"/>
        </w:numPr>
        <w:spacing w:after="0" w:line="360" w:lineRule="auto"/>
        <w:rPr>
          <w:rFonts w:ascii="Arial" w:hAnsi="Arial" w:cs="Arial"/>
          <w:sz w:val="24"/>
          <w:szCs w:val="24"/>
          <w:highlight w:val="yellow"/>
        </w:rPr>
      </w:pPr>
      <w:r w:rsidRPr="00F2252B">
        <w:rPr>
          <w:rFonts w:ascii="Arial" w:hAnsi="Arial" w:cs="Arial"/>
          <w:sz w:val="24"/>
          <w:szCs w:val="24"/>
          <w:highlight w:val="yellow"/>
        </w:rPr>
        <w:t>Be able to apply the 5 A</w:t>
      </w:r>
      <w:r w:rsidR="00814566" w:rsidRPr="00F2252B">
        <w:rPr>
          <w:rFonts w:ascii="Arial" w:hAnsi="Arial" w:cs="Arial"/>
          <w:sz w:val="24"/>
          <w:szCs w:val="24"/>
          <w:highlight w:val="yellow"/>
        </w:rPr>
        <w:t>s model for treating tobacco use and dependence.</w:t>
      </w:r>
    </w:p>
    <w:p w:rsidR="00814566" w:rsidRPr="009D4746" w:rsidRDefault="00B70763" w:rsidP="00603B6B">
      <w:pPr>
        <w:numPr>
          <w:ilvl w:val="1"/>
          <w:numId w:val="1"/>
        </w:numPr>
        <w:spacing w:after="0" w:line="360" w:lineRule="auto"/>
        <w:rPr>
          <w:rFonts w:ascii="Arial" w:hAnsi="Arial" w:cs="Arial"/>
          <w:b/>
          <w:sz w:val="24"/>
          <w:szCs w:val="24"/>
        </w:rPr>
      </w:pPr>
      <w:r w:rsidRPr="009D4746">
        <w:rPr>
          <w:rFonts w:ascii="Arial" w:hAnsi="Arial" w:cs="Arial"/>
          <w:b/>
          <w:sz w:val="24"/>
          <w:szCs w:val="24"/>
        </w:rPr>
        <w:t>5As: Ask, Advise, Assess, Assist, and Arrange follow-up</w:t>
      </w:r>
    </w:p>
    <w:p w:rsidR="00EE7821" w:rsidRPr="009D4746" w:rsidRDefault="00EE7821" w:rsidP="00603B6B">
      <w:pPr>
        <w:numPr>
          <w:ilvl w:val="2"/>
          <w:numId w:val="1"/>
        </w:numPr>
        <w:spacing w:after="0" w:line="360" w:lineRule="auto"/>
        <w:rPr>
          <w:rFonts w:ascii="Arial" w:hAnsi="Arial" w:cs="Arial"/>
          <w:sz w:val="24"/>
          <w:szCs w:val="24"/>
        </w:rPr>
      </w:pPr>
      <w:r w:rsidRPr="009D4746">
        <w:rPr>
          <w:rFonts w:ascii="Arial" w:hAnsi="Arial" w:cs="Arial"/>
          <w:b/>
          <w:sz w:val="24"/>
          <w:szCs w:val="24"/>
        </w:rPr>
        <w:lastRenderedPageBreak/>
        <w:t>Ask</w:t>
      </w:r>
      <w:r w:rsidRPr="009D4746">
        <w:rPr>
          <w:rFonts w:ascii="Arial" w:hAnsi="Arial" w:cs="Arial"/>
          <w:sz w:val="24"/>
          <w:szCs w:val="24"/>
        </w:rPr>
        <w:t xml:space="preserve"> about tobacco use: Identify and document tobacco use status of every patient at every visit</w:t>
      </w:r>
    </w:p>
    <w:p w:rsidR="00EE7821" w:rsidRPr="009D4746" w:rsidRDefault="00EE7821" w:rsidP="00603B6B">
      <w:pPr>
        <w:numPr>
          <w:ilvl w:val="2"/>
          <w:numId w:val="1"/>
        </w:numPr>
        <w:spacing w:after="0" w:line="360" w:lineRule="auto"/>
        <w:rPr>
          <w:rFonts w:ascii="Arial" w:hAnsi="Arial" w:cs="Arial"/>
          <w:sz w:val="24"/>
          <w:szCs w:val="24"/>
        </w:rPr>
      </w:pPr>
      <w:r w:rsidRPr="009D4746">
        <w:rPr>
          <w:rFonts w:ascii="Arial" w:hAnsi="Arial" w:cs="Arial"/>
          <w:b/>
          <w:sz w:val="24"/>
          <w:szCs w:val="24"/>
        </w:rPr>
        <w:t>Advise</w:t>
      </w:r>
      <w:r w:rsidRPr="009D4746">
        <w:rPr>
          <w:rFonts w:ascii="Arial" w:hAnsi="Arial" w:cs="Arial"/>
          <w:sz w:val="24"/>
          <w:szCs w:val="24"/>
        </w:rPr>
        <w:t xml:space="preserve"> to quit: In a clear, strong and personalized manner urge every tobacco user to quit</w:t>
      </w:r>
    </w:p>
    <w:p w:rsidR="00EE7821" w:rsidRPr="009D4746" w:rsidRDefault="00EE7821" w:rsidP="00603B6B">
      <w:pPr>
        <w:numPr>
          <w:ilvl w:val="2"/>
          <w:numId w:val="1"/>
        </w:numPr>
        <w:spacing w:after="0" w:line="360" w:lineRule="auto"/>
        <w:rPr>
          <w:rFonts w:ascii="Arial" w:hAnsi="Arial" w:cs="Arial"/>
          <w:sz w:val="24"/>
          <w:szCs w:val="24"/>
        </w:rPr>
      </w:pPr>
      <w:r w:rsidRPr="009D4746">
        <w:rPr>
          <w:rFonts w:ascii="Arial" w:hAnsi="Arial" w:cs="Arial"/>
          <w:b/>
          <w:sz w:val="24"/>
          <w:szCs w:val="24"/>
        </w:rPr>
        <w:t>Assess</w:t>
      </w:r>
      <w:r w:rsidRPr="009D4746">
        <w:rPr>
          <w:rFonts w:ascii="Arial" w:hAnsi="Arial" w:cs="Arial"/>
          <w:sz w:val="24"/>
          <w:szCs w:val="24"/>
        </w:rPr>
        <w:t>: For current tobacco user, is the tobacco user willing to make a quit attempt at this time? For the ex-tobacco user, how recent did you quit and are there any challenges to remaining abstinent?</w:t>
      </w:r>
    </w:p>
    <w:p w:rsidR="00EE7821" w:rsidRPr="009D4746" w:rsidRDefault="00EE7821" w:rsidP="00603B6B">
      <w:pPr>
        <w:numPr>
          <w:ilvl w:val="2"/>
          <w:numId w:val="1"/>
        </w:numPr>
        <w:spacing w:after="0" w:line="360" w:lineRule="auto"/>
        <w:rPr>
          <w:rFonts w:ascii="Arial" w:hAnsi="Arial" w:cs="Arial"/>
          <w:sz w:val="24"/>
          <w:szCs w:val="24"/>
        </w:rPr>
      </w:pPr>
      <w:r w:rsidRPr="009D4746">
        <w:rPr>
          <w:rFonts w:ascii="Arial" w:hAnsi="Arial" w:cs="Arial"/>
          <w:b/>
          <w:sz w:val="24"/>
          <w:szCs w:val="24"/>
        </w:rPr>
        <w:t>Assist</w:t>
      </w:r>
      <w:r w:rsidRPr="009D4746">
        <w:rPr>
          <w:rFonts w:ascii="Arial" w:hAnsi="Arial" w:cs="Arial"/>
          <w:sz w:val="24"/>
          <w:szCs w:val="24"/>
        </w:rPr>
        <w:t>: For the patient willing to make a quit attempt, offer medication and provide or refer for counseling or additional behavioral treatment to help the patient quit. For patients unwilling to quit at this time, provide motivational interventions designed to increase future attempts. For the recent quitter and any with remaining challenges, provide relapse prevention.</w:t>
      </w:r>
    </w:p>
    <w:p w:rsidR="00EE7821" w:rsidRPr="009D4746" w:rsidRDefault="00EE7821" w:rsidP="00603B6B">
      <w:pPr>
        <w:numPr>
          <w:ilvl w:val="2"/>
          <w:numId w:val="1"/>
        </w:numPr>
        <w:spacing w:after="0" w:line="360" w:lineRule="auto"/>
        <w:rPr>
          <w:rFonts w:ascii="Arial" w:hAnsi="Arial" w:cs="Arial"/>
          <w:sz w:val="24"/>
          <w:szCs w:val="24"/>
        </w:rPr>
      </w:pPr>
      <w:r w:rsidRPr="009D4746">
        <w:rPr>
          <w:rFonts w:ascii="Arial" w:hAnsi="Arial" w:cs="Arial"/>
          <w:b/>
          <w:sz w:val="24"/>
          <w:szCs w:val="24"/>
        </w:rPr>
        <w:t>Arrange</w:t>
      </w:r>
      <w:r w:rsidRPr="009D4746">
        <w:rPr>
          <w:rFonts w:ascii="Arial" w:hAnsi="Arial" w:cs="Arial"/>
          <w:sz w:val="24"/>
          <w:szCs w:val="24"/>
        </w:rPr>
        <w:t>: All those receiving the previous As should receive follow-up.</w:t>
      </w:r>
    </w:p>
    <w:p w:rsidR="009D4746" w:rsidRPr="009D4746" w:rsidRDefault="009D4746" w:rsidP="00603B6B">
      <w:pPr>
        <w:numPr>
          <w:ilvl w:val="1"/>
          <w:numId w:val="1"/>
        </w:numPr>
        <w:spacing w:after="0" w:line="360" w:lineRule="auto"/>
        <w:rPr>
          <w:rFonts w:ascii="Arial" w:hAnsi="Arial" w:cs="Arial"/>
          <w:sz w:val="24"/>
          <w:szCs w:val="24"/>
        </w:rPr>
      </w:pPr>
      <w:r w:rsidRPr="009D4746">
        <w:rPr>
          <w:rFonts w:ascii="Arial" w:hAnsi="Arial" w:cs="Arial"/>
          <w:b/>
          <w:sz w:val="24"/>
          <w:szCs w:val="24"/>
        </w:rPr>
        <w:t>With a Patient not ready to quit</w:t>
      </w:r>
      <w:r w:rsidRPr="009D4746">
        <w:rPr>
          <w:rFonts w:ascii="Arial" w:hAnsi="Arial" w:cs="Arial"/>
          <w:sz w:val="24"/>
          <w:szCs w:val="24"/>
        </w:rPr>
        <w:t>:</w:t>
      </w:r>
    </w:p>
    <w:p w:rsidR="009D4746" w:rsidRPr="009A4919" w:rsidRDefault="009D4746" w:rsidP="00603B6B">
      <w:pPr>
        <w:numPr>
          <w:ilvl w:val="0"/>
          <w:numId w:val="4"/>
        </w:numPr>
        <w:spacing w:before="100" w:beforeAutospacing="1" w:after="100" w:afterAutospacing="1" w:line="360" w:lineRule="auto"/>
        <w:rPr>
          <w:rFonts w:ascii="Arial" w:eastAsia="Times New Roman" w:hAnsi="Arial" w:cs="Arial"/>
          <w:b/>
          <w:sz w:val="24"/>
          <w:szCs w:val="24"/>
        </w:rPr>
      </w:pPr>
      <w:r w:rsidRPr="009A4919">
        <w:rPr>
          <w:rFonts w:ascii="Arial" w:eastAsia="Times New Roman" w:hAnsi="Arial" w:cs="Arial"/>
          <w:b/>
          <w:sz w:val="24"/>
          <w:szCs w:val="24"/>
        </w:rPr>
        <w:t>Do you ever plan to quit?</w:t>
      </w:r>
    </w:p>
    <w:p w:rsidR="009D4746" w:rsidRPr="009D4746" w:rsidRDefault="009D4746" w:rsidP="00603B6B">
      <w:pPr>
        <w:spacing w:before="100" w:beforeAutospacing="1" w:after="100" w:afterAutospacing="1" w:line="360" w:lineRule="auto"/>
        <w:ind w:left="720"/>
        <w:rPr>
          <w:rFonts w:ascii="Arial" w:eastAsia="Times New Roman" w:hAnsi="Arial" w:cs="Arial"/>
          <w:sz w:val="24"/>
          <w:szCs w:val="24"/>
        </w:rPr>
      </w:pPr>
      <w:r w:rsidRPr="009D4746">
        <w:rPr>
          <w:rFonts w:ascii="Arial" w:eastAsia="Times New Roman" w:hAnsi="Arial" w:cs="Arial"/>
          <w:sz w:val="24"/>
          <w:szCs w:val="24"/>
        </w:rPr>
        <w:t>Most patients will respond “yes,” in which case the clinician should continue with question 2. If they respond “no,” the clinician should strongly advise the patient to quit and offer to assist, if the patient changes his or her mind.</w:t>
      </w:r>
    </w:p>
    <w:p w:rsidR="009D4746" w:rsidRPr="009A4919" w:rsidRDefault="009D4746" w:rsidP="00603B6B">
      <w:pPr>
        <w:numPr>
          <w:ilvl w:val="0"/>
          <w:numId w:val="4"/>
        </w:numPr>
        <w:spacing w:before="100" w:beforeAutospacing="1" w:after="100" w:afterAutospacing="1" w:line="360" w:lineRule="auto"/>
        <w:rPr>
          <w:rFonts w:ascii="Arial" w:eastAsia="Times New Roman" w:hAnsi="Arial" w:cs="Arial"/>
          <w:b/>
          <w:sz w:val="24"/>
          <w:szCs w:val="24"/>
        </w:rPr>
      </w:pPr>
      <w:r w:rsidRPr="009A4919">
        <w:rPr>
          <w:rFonts w:ascii="Arial" w:eastAsia="Times New Roman" w:hAnsi="Arial" w:cs="Arial"/>
          <w:b/>
          <w:sz w:val="24"/>
          <w:szCs w:val="24"/>
        </w:rPr>
        <w:t>How would it benefit you to quit later, as opposed to now?</w:t>
      </w:r>
    </w:p>
    <w:p w:rsidR="009D4746" w:rsidRPr="009D4746" w:rsidRDefault="009D4746" w:rsidP="00603B6B">
      <w:pPr>
        <w:spacing w:before="100" w:beforeAutospacing="1" w:after="100" w:afterAutospacing="1" w:line="360" w:lineRule="auto"/>
        <w:ind w:left="720"/>
        <w:rPr>
          <w:rFonts w:ascii="Arial" w:eastAsia="Times New Roman" w:hAnsi="Arial" w:cs="Arial"/>
          <w:sz w:val="24"/>
          <w:szCs w:val="24"/>
        </w:rPr>
      </w:pPr>
      <w:r w:rsidRPr="009D4746">
        <w:rPr>
          <w:rFonts w:ascii="Arial" w:eastAsia="Times New Roman" w:hAnsi="Arial" w:cs="Arial"/>
          <w:sz w:val="24"/>
          <w:szCs w:val="24"/>
        </w:rPr>
        <w:t>Most patients will agree that there is never an ideal time to quit, and procrastinating a quit date has more negative effects than positive.</w:t>
      </w:r>
    </w:p>
    <w:p w:rsidR="009D4746" w:rsidRPr="009A4919" w:rsidRDefault="009D4746" w:rsidP="00603B6B">
      <w:pPr>
        <w:numPr>
          <w:ilvl w:val="0"/>
          <w:numId w:val="4"/>
        </w:numPr>
        <w:spacing w:before="100" w:beforeAutospacing="1" w:after="100" w:afterAutospacing="1" w:line="360" w:lineRule="auto"/>
        <w:rPr>
          <w:rFonts w:ascii="Arial" w:eastAsia="Times New Roman" w:hAnsi="Arial" w:cs="Arial"/>
          <w:b/>
          <w:sz w:val="24"/>
          <w:szCs w:val="24"/>
        </w:rPr>
      </w:pPr>
      <w:r w:rsidRPr="009A4919">
        <w:rPr>
          <w:rFonts w:ascii="Arial" w:eastAsia="Times New Roman" w:hAnsi="Arial" w:cs="Arial"/>
          <w:b/>
          <w:sz w:val="24"/>
          <w:szCs w:val="24"/>
        </w:rPr>
        <w:t>What is the worst thing that would happen if you were to quit now?</w:t>
      </w:r>
    </w:p>
    <w:p w:rsidR="009D4746" w:rsidRPr="006943CD" w:rsidRDefault="009D4746" w:rsidP="00603B6B">
      <w:pPr>
        <w:spacing w:before="100" w:beforeAutospacing="1" w:after="100" w:afterAutospacing="1" w:line="360" w:lineRule="auto"/>
        <w:ind w:left="720"/>
        <w:rPr>
          <w:rFonts w:ascii="Arial" w:eastAsia="Times New Roman" w:hAnsi="Arial" w:cs="Arial"/>
          <w:sz w:val="24"/>
          <w:szCs w:val="24"/>
        </w:rPr>
      </w:pPr>
      <w:r w:rsidRPr="009D4746">
        <w:rPr>
          <w:rFonts w:ascii="Arial" w:eastAsia="Times New Roman" w:hAnsi="Arial" w:cs="Arial"/>
          <w:sz w:val="24"/>
          <w:szCs w:val="24"/>
        </w:rPr>
        <w:lastRenderedPageBreak/>
        <w:t>This question probes patients' perceptions of quitting, which reveals some of the barriers to quitting that can then be addressed by the clinician.</w:t>
      </w:r>
    </w:p>
    <w:p w:rsidR="00814566" w:rsidRPr="00F2252B" w:rsidRDefault="00814566" w:rsidP="00603B6B">
      <w:pPr>
        <w:numPr>
          <w:ilvl w:val="0"/>
          <w:numId w:val="1"/>
        </w:numPr>
        <w:spacing w:after="0" w:line="360" w:lineRule="auto"/>
        <w:rPr>
          <w:rFonts w:ascii="Arial" w:hAnsi="Arial" w:cs="Arial"/>
          <w:sz w:val="24"/>
          <w:szCs w:val="24"/>
          <w:highlight w:val="yellow"/>
        </w:rPr>
      </w:pPr>
      <w:r w:rsidRPr="00F2252B">
        <w:rPr>
          <w:rFonts w:ascii="Arial" w:hAnsi="Arial" w:cs="Arial"/>
          <w:sz w:val="24"/>
          <w:szCs w:val="24"/>
          <w:highlight w:val="yellow"/>
        </w:rPr>
        <w:t xml:space="preserve">To help a patient with a quit plan, review the “STAR” method. </w:t>
      </w:r>
    </w:p>
    <w:p w:rsidR="00891B4F" w:rsidRPr="00891B4F" w:rsidRDefault="00891B4F" w:rsidP="00603B6B">
      <w:pPr>
        <w:numPr>
          <w:ilvl w:val="1"/>
          <w:numId w:val="1"/>
        </w:numPr>
        <w:spacing w:after="0" w:line="360" w:lineRule="auto"/>
        <w:rPr>
          <w:rFonts w:ascii="Arial" w:hAnsi="Arial" w:cs="Arial"/>
          <w:sz w:val="24"/>
          <w:szCs w:val="24"/>
        </w:rPr>
      </w:pPr>
      <w:r w:rsidRPr="00891B4F">
        <w:rPr>
          <w:rFonts w:ascii="Arial" w:hAnsi="Arial" w:cs="Arial"/>
          <w:b/>
          <w:sz w:val="24"/>
          <w:szCs w:val="24"/>
        </w:rPr>
        <w:t>Relevance</w:t>
      </w:r>
      <w:r w:rsidRPr="00891B4F">
        <w:rPr>
          <w:rFonts w:ascii="Arial" w:hAnsi="Arial" w:cs="Arial"/>
          <w:sz w:val="24"/>
          <w:szCs w:val="24"/>
        </w:rPr>
        <w:t xml:space="preserve">—Encourage patients to think about the reasons why quitting is important. Counseling should be framed such that it relates to the patient's risk for disease or exacerbation of disease, family or social situations (e.g., having children with asthma), health concerns, age, or other patient factors, such as prior experience with quitting. </w:t>
      </w:r>
    </w:p>
    <w:p w:rsidR="00891B4F" w:rsidRPr="00891B4F" w:rsidRDefault="00891B4F" w:rsidP="00603B6B">
      <w:pPr>
        <w:numPr>
          <w:ilvl w:val="1"/>
          <w:numId w:val="1"/>
        </w:numPr>
        <w:spacing w:after="0" w:line="360" w:lineRule="auto"/>
        <w:rPr>
          <w:rFonts w:ascii="Arial" w:hAnsi="Arial" w:cs="Arial"/>
          <w:sz w:val="24"/>
          <w:szCs w:val="24"/>
        </w:rPr>
      </w:pPr>
      <w:r w:rsidRPr="00891B4F">
        <w:rPr>
          <w:rFonts w:ascii="Arial" w:hAnsi="Arial" w:cs="Arial"/>
          <w:b/>
          <w:sz w:val="24"/>
          <w:szCs w:val="24"/>
        </w:rPr>
        <w:t>Risks</w:t>
      </w:r>
      <w:r w:rsidRPr="00891B4F">
        <w:rPr>
          <w:rFonts w:ascii="Arial" w:hAnsi="Arial" w:cs="Arial"/>
          <w:sz w:val="24"/>
          <w:szCs w:val="24"/>
        </w:rPr>
        <w:t xml:space="preserve">—Ask patients to identify potential negative health consequences of smoking, such as acute risks (shortness of breath, asthma exacerbations, harm to pregnancy, infertility), long-term risks (cancer, cardiac, and pulmonary disease), and environmental risks (promoting smoking among children by being a negative role model; effects of second-hand smoke on others, including children and pets). </w:t>
      </w:r>
    </w:p>
    <w:p w:rsidR="00891B4F" w:rsidRPr="00891B4F" w:rsidRDefault="00891B4F" w:rsidP="00603B6B">
      <w:pPr>
        <w:numPr>
          <w:ilvl w:val="1"/>
          <w:numId w:val="1"/>
        </w:numPr>
        <w:spacing w:after="0" w:line="360" w:lineRule="auto"/>
        <w:rPr>
          <w:rFonts w:ascii="Arial" w:hAnsi="Arial" w:cs="Arial"/>
          <w:sz w:val="24"/>
          <w:szCs w:val="24"/>
        </w:rPr>
      </w:pPr>
      <w:r w:rsidRPr="00891B4F">
        <w:rPr>
          <w:rFonts w:ascii="Arial" w:hAnsi="Arial" w:cs="Arial"/>
          <w:b/>
          <w:sz w:val="24"/>
          <w:szCs w:val="24"/>
        </w:rPr>
        <w:t>Rewards</w:t>
      </w:r>
      <w:r w:rsidRPr="00891B4F">
        <w:rPr>
          <w:rFonts w:ascii="Arial" w:hAnsi="Arial" w:cs="Arial"/>
          <w:sz w:val="24"/>
          <w:szCs w:val="24"/>
        </w:rPr>
        <w:t xml:space="preserve">—Ask patients to identify potential benefits that they anticipate from quitting, such as improved health, enhanced physical performance, enhanced taste and smell, reduced expenditures for tobacco, less time wasted or work missed, reduced health risks to others (fetus, children, housemates), and reduced aging of the skin. </w:t>
      </w:r>
    </w:p>
    <w:p w:rsidR="00891B4F" w:rsidRPr="00891B4F" w:rsidRDefault="00891B4F" w:rsidP="00603B6B">
      <w:pPr>
        <w:numPr>
          <w:ilvl w:val="1"/>
          <w:numId w:val="1"/>
        </w:numPr>
        <w:spacing w:after="0" w:line="360" w:lineRule="auto"/>
        <w:rPr>
          <w:rFonts w:ascii="Arial" w:hAnsi="Arial" w:cs="Arial"/>
          <w:sz w:val="24"/>
          <w:szCs w:val="24"/>
        </w:rPr>
      </w:pPr>
      <w:r w:rsidRPr="00891B4F">
        <w:rPr>
          <w:rFonts w:ascii="Arial" w:hAnsi="Arial" w:cs="Arial"/>
          <w:b/>
          <w:sz w:val="24"/>
          <w:szCs w:val="24"/>
        </w:rPr>
        <w:t>Roadblocks</w:t>
      </w:r>
      <w:r w:rsidRPr="00891B4F">
        <w:rPr>
          <w:rFonts w:ascii="Arial" w:hAnsi="Arial" w:cs="Arial"/>
          <w:sz w:val="24"/>
          <w:szCs w:val="24"/>
        </w:rPr>
        <w:t xml:space="preserve">—Help patients identify barriers to quitting and assist in developing coping strategies (Table 85-6) for addressing each barrier. Common barriers include nicotine withdrawal symptoms (Table 85-7), fear of failure, a need for social support while quitting, depression, weight gain, and a sense of deprivation or loss. </w:t>
      </w:r>
    </w:p>
    <w:p w:rsidR="00891B4F" w:rsidRPr="00891B4F" w:rsidRDefault="00891B4F" w:rsidP="00603B6B">
      <w:pPr>
        <w:numPr>
          <w:ilvl w:val="1"/>
          <w:numId w:val="1"/>
        </w:numPr>
        <w:spacing w:after="0" w:line="360" w:lineRule="auto"/>
        <w:rPr>
          <w:rFonts w:ascii="Arial" w:hAnsi="Arial" w:cs="Arial"/>
          <w:sz w:val="24"/>
          <w:szCs w:val="24"/>
        </w:rPr>
      </w:pPr>
      <w:r w:rsidRPr="00891B4F">
        <w:rPr>
          <w:rFonts w:ascii="Arial" w:hAnsi="Arial" w:cs="Arial"/>
          <w:b/>
          <w:sz w:val="24"/>
          <w:szCs w:val="24"/>
        </w:rPr>
        <w:t>Repetition</w:t>
      </w:r>
      <w:r w:rsidRPr="00891B4F">
        <w:rPr>
          <w:rFonts w:ascii="Arial" w:hAnsi="Arial" w:cs="Arial"/>
          <w:sz w:val="24"/>
          <w:szCs w:val="24"/>
        </w:rPr>
        <w:t>—Continue to work with patients who are successful in their quit attempt. Discuss circumstances in which smoking occurred to identify the trigger(s) for relapse; this is part of the learning process and will be useful information for the next quit attempt. Repeat interventions when possible.</w:t>
      </w:r>
    </w:p>
    <w:p w:rsidR="00891B4F" w:rsidRDefault="00891B4F" w:rsidP="00603B6B">
      <w:pPr>
        <w:spacing w:after="0" w:line="360" w:lineRule="auto"/>
        <w:ind w:left="1440"/>
        <w:rPr>
          <w:rFonts w:ascii="Arial" w:hAnsi="Arial" w:cs="Arial"/>
          <w:sz w:val="24"/>
          <w:szCs w:val="24"/>
        </w:rPr>
      </w:pPr>
    </w:p>
    <w:p w:rsidR="009A4919" w:rsidRDefault="009A4919" w:rsidP="00603B6B">
      <w:pPr>
        <w:spacing w:after="0" w:line="360" w:lineRule="auto"/>
        <w:ind w:left="1440"/>
        <w:rPr>
          <w:rFonts w:ascii="Arial" w:hAnsi="Arial" w:cs="Arial"/>
          <w:sz w:val="24"/>
          <w:szCs w:val="24"/>
        </w:rPr>
      </w:pPr>
    </w:p>
    <w:p w:rsidR="009A4919" w:rsidRPr="00891B4F" w:rsidRDefault="009A4919" w:rsidP="00603B6B">
      <w:pPr>
        <w:spacing w:after="0" w:line="360" w:lineRule="auto"/>
        <w:ind w:left="1440"/>
        <w:rPr>
          <w:rFonts w:ascii="Arial" w:hAnsi="Arial" w:cs="Arial"/>
          <w:sz w:val="24"/>
          <w:szCs w:val="24"/>
        </w:rPr>
      </w:pPr>
    </w:p>
    <w:p w:rsidR="00814566" w:rsidRPr="00F2252B" w:rsidRDefault="00814566" w:rsidP="00603B6B">
      <w:pPr>
        <w:numPr>
          <w:ilvl w:val="0"/>
          <w:numId w:val="1"/>
        </w:numPr>
        <w:spacing w:after="0" w:line="360" w:lineRule="auto"/>
        <w:rPr>
          <w:rFonts w:ascii="Arial" w:hAnsi="Arial" w:cs="Arial"/>
          <w:sz w:val="24"/>
          <w:szCs w:val="24"/>
          <w:highlight w:val="yellow"/>
        </w:rPr>
      </w:pPr>
      <w:r w:rsidRPr="00F2252B">
        <w:rPr>
          <w:rFonts w:ascii="Arial" w:hAnsi="Arial" w:cs="Arial"/>
          <w:sz w:val="24"/>
          <w:szCs w:val="24"/>
          <w:highlight w:val="yellow"/>
        </w:rPr>
        <w:t>Explain the role of behavior counseling strategies and other support therapy for assisting patients with quitting.</w:t>
      </w:r>
    </w:p>
    <w:p w:rsidR="006943CD" w:rsidRDefault="006943CD" w:rsidP="00603B6B">
      <w:pPr>
        <w:numPr>
          <w:ilvl w:val="1"/>
          <w:numId w:val="1"/>
        </w:numPr>
        <w:spacing w:after="0" w:line="360" w:lineRule="auto"/>
        <w:rPr>
          <w:rFonts w:ascii="Arial" w:hAnsi="Arial" w:cs="Arial"/>
          <w:sz w:val="24"/>
          <w:szCs w:val="24"/>
        </w:rPr>
      </w:pPr>
      <w:r>
        <w:rPr>
          <w:rFonts w:ascii="Arial" w:hAnsi="Arial" w:cs="Arial"/>
          <w:sz w:val="24"/>
          <w:szCs w:val="24"/>
        </w:rPr>
        <w:t>P</w:t>
      </w:r>
      <w:r w:rsidRPr="006943CD">
        <w:rPr>
          <w:rFonts w:ascii="Arial" w:hAnsi="Arial" w:cs="Arial"/>
          <w:sz w:val="24"/>
          <w:szCs w:val="24"/>
        </w:rPr>
        <w:t>atients who receive a tobacco cessation intervention from a physician clinician or a non-physician clinician are more likely to quit</w:t>
      </w:r>
      <w:r>
        <w:rPr>
          <w:rFonts w:ascii="Arial" w:hAnsi="Arial" w:cs="Arial"/>
          <w:sz w:val="24"/>
          <w:szCs w:val="24"/>
        </w:rPr>
        <w:t>.</w:t>
      </w:r>
    </w:p>
    <w:p w:rsidR="009A4919" w:rsidRPr="00490243" w:rsidRDefault="009A4919" w:rsidP="009A4919">
      <w:pPr>
        <w:spacing w:after="0" w:line="360" w:lineRule="auto"/>
        <w:ind w:left="1440"/>
        <w:rPr>
          <w:rFonts w:ascii="Arial" w:hAnsi="Arial" w:cs="Arial"/>
          <w:sz w:val="24"/>
          <w:szCs w:val="24"/>
        </w:rPr>
      </w:pPr>
    </w:p>
    <w:p w:rsidR="00814566"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Be able to select an appropriate product to be used for tobacco dependence treatment in a given patient considering efficacy, contraindications, side effects, and cost, convenience.</w:t>
      </w:r>
    </w:p>
    <w:p w:rsidR="00603B6B" w:rsidRDefault="00603B6B" w:rsidP="00603B6B">
      <w:pPr>
        <w:numPr>
          <w:ilvl w:val="1"/>
          <w:numId w:val="1"/>
        </w:numPr>
        <w:spacing w:after="0" w:line="360" w:lineRule="auto"/>
        <w:rPr>
          <w:rFonts w:ascii="Arial" w:hAnsi="Arial" w:cs="Arial"/>
          <w:sz w:val="24"/>
          <w:szCs w:val="24"/>
        </w:rPr>
      </w:pPr>
      <w:r w:rsidRPr="00603B6B">
        <w:rPr>
          <w:rFonts w:ascii="Arial" w:hAnsi="Arial" w:cs="Arial"/>
          <w:sz w:val="24"/>
          <w:szCs w:val="24"/>
        </w:rPr>
        <w:t>SEE CHART</w:t>
      </w:r>
    </w:p>
    <w:p w:rsidR="009A4919" w:rsidRPr="00603B6B" w:rsidRDefault="009A4919" w:rsidP="009A4919">
      <w:pPr>
        <w:spacing w:after="0" w:line="360" w:lineRule="auto"/>
        <w:ind w:left="1440"/>
        <w:rPr>
          <w:rFonts w:ascii="Arial" w:hAnsi="Arial" w:cs="Arial"/>
          <w:sz w:val="24"/>
          <w:szCs w:val="24"/>
        </w:rPr>
      </w:pPr>
    </w:p>
    <w:p w:rsidR="00814566"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 xml:space="preserve">Know what medications may be combined to increase efficacy. </w:t>
      </w:r>
    </w:p>
    <w:p w:rsidR="00891B4F" w:rsidRDefault="00891B4F" w:rsidP="00603B6B">
      <w:pPr>
        <w:numPr>
          <w:ilvl w:val="1"/>
          <w:numId w:val="1"/>
        </w:numPr>
        <w:spacing w:after="0" w:line="360" w:lineRule="auto"/>
        <w:rPr>
          <w:rFonts w:ascii="Arial" w:hAnsi="Arial" w:cs="Arial"/>
          <w:sz w:val="24"/>
          <w:szCs w:val="24"/>
        </w:rPr>
      </w:pPr>
      <w:r>
        <w:rPr>
          <w:rFonts w:ascii="Arial" w:hAnsi="Arial" w:cs="Arial"/>
          <w:sz w:val="24"/>
          <w:szCs w:val="24"/>
        </w:rPr>
        <w:t>Nicotine patch (&gt;14 weeks) + NRT of gum or nasal spray</w:t>
      </w:r>
    </w:p>
    <w:p w:rsidR="00891B4F" w:rsidRDefault="00891B4F" w:rsidP="00603B6B">
      <w:pPr>
        <w:numPr>
          <w:ilvl w:val="1"/>
          <w:numId w:val="1"/>
        </w:numPr>
        <w:spacing w:after="0" w:line="360" w:lineRule="auto"/>
        <w:rPr>
          <w:rFonts w:ascii="Arial" w:hAnsi="Arial" w:cs="Arial"/>
          <w:sz w:val="24"/>
          <w:szCs w:val="24"/>
        </w:rPr>
      </w:pPr>
      <w:r>
        <w:rPr>
          <w:rFonts w:ascii="Arial" w:hAnsi="Arial" w:cs="Arial"/>
          <w:sz w:val="24"/>
          <w:szCs w:val="24"/>
        </w:rPr>
        <w:t>Nicotine patch + bupropion SR</w:t>
      </w:r>
    </w:p>
    <w:p w:rsidR="00891B4F" w:rsidRDefault="00891B4F" w:rsidP="00603B6B">
      <w:pPr>
        <w:numPr>
          <w:ilvl w:val="1"/>
          <w:numId w:val="1"/>
        </w:numPr>
        <w:spacing w:after="0" w:line="360" w:lineRule="auto"/>
        <w:rPr>
          <w:rFonts w:ascii="Arial" w:hAnsi="Arial" w:cs="Arial"/>
          <w:sz w:val="24"/>
          <w:szCs w:val="24"/>
        </w:rPr>
      </w:pPr>
      <w:r>
        <w:rPr>
          <w:rFonts w:ascii="Arial" w:hAnsi="Arial" w:cs="Arial"/>
          <w:sz w:val="24"/>
          <w:szCs w:val="24"/>
        </w:rPr>
        <w:t>Nicotine patch + nortriptyline</w:t>
      </w:r>
    </w:p>
    <w:p w:rsidR="00272F14" w:rsidRDefault="00891B4F" w:rsidP="009A4919">
      <w:pPr>
        <w:numPr>
          <w:ilvl w:val="1"/>
          <w:numId w:val="1"/>
        </w:numPr>
        <w:spacing w:after="0" w:line="360" w:lineRule="auto"/>
        <w:rPr>
          <w:rFonts w:ascii="Arial" w:hAnsi="Arial" w:cs="Arial"/>
          <w:sz w:val="24"/>
          <w:szCs w:val="24"/>
        </w:rPr>
      </w:pPr>
      <w:r>
        <w:rPr>
          <w:rFonts w:ascii="Arial" w:hAnsi="Arial" w:cs="Arial"/>
          <w:sz w:val="24"/>
          <w:szCs w:val="24"/>
        </w:rPr>
        <w:t>Nicotine patch + nicotine inhaler</w:t>
      </w:r>
    </w:p>
    <w:p w:rsidR="009A4919" w:rsidRPr="009A4919" w:rsidRDefault="009A4919" w:rsidP="009A4919">
      <w:pPr>
        <w:spacing w:after="0" w:line="360" w:lineRule="auto"/>
        <w:ind w:left="1440"/>
        <w:rPr>
          <w:rFonts w:ascii="Arial" w:hAnsi="Arial" w:cs="Arial"/>
          <w:sz w:val="24"/>
          <w:szCs w:val="24"/>
        </w:rPr>
      </w:pPr>
    </w:p>
    <w:p w:rsidR="00272F14" w:rsidRPr="00272F14" w:rsidRDefault="00814566" w:rsidP="00603B6B">
      <w:pPr>
        <w:numPr>
          <w:ilvl w:val="0"/>
          <w:numId w:val="1"/>
        </w:numPr>
        <w:spacing w:after="0" w:line="360" w:lineRule="auto"/>
        <w:rPr>
          <w:rFonts w:ascii="Arial" w:hAnsi="Arial" w:cs="Arial"/>
          <w:sz w:val="24"/>
          <w:szCs w:val="24"/>
          <w:highlight w:val="yellow"/>
        </w:rPr>
      </w:pPr>
      <w:r w:rsidRPr="00272F14">
        <w:rPr>
          <w:rFonts w:ascii="Arial" w:hAnsi="Arial" w:cs="Arial"/>
          <w:sz w:val="24"/>
          <w:szCs w:val="24"/>
          <w:highlight w:val="yellow"/>
        </w:rPr>
        <w:t xml:space="preserve">Know what population requires special consideration when offering to use one or a combination of efficacious </w:t>
      </w:r>
      <w:proofErr w:type="spellStart"/>
      <w:r w:rsidRPr="00272F14">
        <w:rPr>
          <w:rFonts w:ascii="Arial" w:hAnsi="Arial" w:cs="Arial"/>
          <w:sz w:val="24"/>
          <w:szCs w:val="24"/>
          <w:highlight w:val="yellow"/>
        </w:rPr>
        <w:t>pharmacotherapies</w:t>
      </w:r>
      <w:proofErr w:type="spellEnd"/>
      <w:r w:rsidRPr="00272F14">
        <w:rPr>
          <w:rFonts w:ascii="Arial" w:hAnsi="Arial" w:cs="Arial"/>
          <w:sz w:val="24"/>
          <w:szCs w:val="24"/>
          <w:highlight w:val="yellow"/>
        </w:rPr>
        <w:t>.</w:t>
      </w:r>
    </w:p>
    <w:p w:rsidR="00272F14" w:rsidRPr="00272F14" w:rsidRDefault="00272F14" w:rsidP="00603B6B">
      <w:pPr>
        <w:numPr>
          <w:ilvl w:val="1"/>
          <w:numId w:val="1"/>
        </w:numPr>
        <w:spacing w:after="0" w:line="360" w:lineRule="auto"/>
        <w:rPr>
          <w:rFonts w:ascii="Arial" w:hAnsi="Arial" w:cs="Arial"/>
          <w:sz w:val="24"/>
          <w:szCs w:val="24"/>
        </w:rPr>
      </w:pPr>
      <w:r w:rsidRPr="00272F14">
        <w:rPr>
          <w:rFonts w:ascii="Arial" w:hAnsi="Arial" w:cs="Arial"/>
          <w:b/>
          <w:sz w:val="24"/>
          <w:szCs w:val="24"/>
        </w:rPr>
        <w:t>Bupropion</w:t>
      </w:r>
      <w:r w:rsidRPr="00272F14">
        <w:rPr>
          <w:rFonts w:ascii="Arial" w:hAnsi="Arial" w:cs="Arial"/>
          <w:sz w:val="24"/>
          <w:szCs w:val="24"/>
        </w:rPr>
        <w:t xml:space="preserve"> is contraindicated in patients with anorexia or bulimia nervosa, patients undergoing abrupt discontinuation of alcohol or sedatives (including benzodiazepines), and patients currently taking monoamine oxidase inhibitors due to the increased potential for seizures in these populations</w:t>
      </w:r>
      <w:r>
        <w:rPr>
          <w:rFonts w:ascii="Arial" w:hAnsi="Arial" w:cs="Arial"/>
          <w:sz w:val="24"/>
          <w:szCs w:val="24"/>
        </w:rPr>
        <w:t>.</w:t>
      </w:r>
    </w:p>
    <w:p w:rsidR="00272F14" w:rsidRPr="00272F14" w:rsidRDefault="00272F14" w:rsidP="00603B6B">
      <w:pPr>
        <w:numPr>
          <w:ilvl w:val="1"/>
          <w:numId w:val="1"/>
        </w:numPr>
        <w:spacing w:after="0" w:line="360" w:lineRule="auto"/>
        <w:rPr>
          <w:rFonts w:ascii="Arial" w:hAnsi="Arial" w:cs="Arial"/>
          <w:sz w:val="24"/>
          <w:szCs w:val="24"/>
        </w:rPr>
      </w:pPr>
      <w:r w:rsidRPr="00272F14">
        <w:rPr>
          <w:rFonts w:ascii="Arial" w:hAnsi="Arial" w:cs="Arial"/>
          <w:sz w:val="24"/>
          <w:szCs w:val="24"/>
        </w:rPr>
        <w:t xml:space="preserve">Patients with serious psychiatric illness such as schizophrenia, bipolar disorder, and major depressive disorder did not participate in the premarketing studies of </w:t>
      </w:r>
      <w:r w:rsidRPr="00272F14">
        <w:rPr>
          <w:rFonts w:ascii="Arial" w:hAnsi="Arial" w:cs="Arial"/>
          <w:b/>
          <w:sz w:val="24"/>
          <w:szCs w:val="24"/>
        </w:rPr>
        <w:t>varenicline</w:t>
      </w:r>
      <w:r w:rsidRPr="00272F14">
        <w:rPr>
          <w:rFonts w:ascii="Arial" w:hAnsi="Arial" w:cs="Arial"/>
          <w:sz w:val="24"/>
          <w:szCs w:val="24"/>
        </w:rPr>
        <w:t>, and a</w:t>
      </w:r>
      <w:r>
        <w:rPr>
          <w:rFonts w:ascii="Arial" w:hAnsi="Arial" w:cs="Arial"/>
          <w:sz w:val="24"/>
          <w:szCs w:val="24"/>
        </w:rPr>
        <w:t xml:space="preserve">s such, the safety and efficacy </w:t>
      </w:r>
      <w:r w:rsidRPr="00272F14">
        <w:rPr>
          <w:rFonts w:ascii="Arial" w:hAnsi="Arial" w:cs="Arial"/>
          <w:sz w:val="24"/>
          <w:szCs w:val="24"/>
        </w:rPr>
        <w:t>of the medications in these populations have not been established</w:t>
      </w:r>
      <w:r>
        <w:rPr>
          <w:rFonts w:ascii="Arial" w:hAnsi="Arial" w:cs="Arial"/>
          <w:sz w:val="24"/>
          <w:szCs w:val="24"/>
        </w:rPr>
        <w:t>.</w:t>
      </w:r>
    </w:p>
    <w:p w:rsidR="00272F14" w:rsidRDefault="00272F14" w:rsidP="00603B6B">
      <w:pPr>
        <w:numPr>
          <w:ilvl w:val="1"/>
          <w:numId w:val="1"/>
        </w:numPr>
        <w:spacing w:after="0" w:line="360" w:lineRule="auto"/>
        <w:rPr>
          <w:rFonts w:ascii="Arial" w:hAnsi="Arial" w:cs="Arial"/>
          <w:sz w:val="24"/>
          <w:szCs w:val="24"/>
        </w:rPr>
      </w:pPr>
      <w:r w:rsidRPr="00272F14">
        <w:rPr>
          <w:rFonts w:ascii="Arial" w:hAnsi="Arial" w:cs="Arial"/>
          <w:b/>
          <w:sz w:val="24"/>
          <w:szCs w:val="24"/>
        </w:rPr>
        <w:t>NRT</w:t>
      </w:r>
      <w:r w:rsidRPr="00272F14">
        <w:rPr>
          <w:rFonts w:ascii="Arial" w:hAnsi="Arial" w:cs="Arial"/>
          <w:sz w:val="24"/>
          <w:szCs w:val="24"/>
        </w:rPr>
        <w:t xml:space="preserve"> use in patients with cardiovascular disease has been the subject of numerous reviews, and it is widely believed by experts in the field that the </w:t>
      </w:r>
      <w:r w:rsidRPr="00272F14">
        <w:rPr>
          <w:rFonts w:ascii="Arial" w:hAnsi="Arial" w:cs="Arial"/>
          <w:sz w:val="24"/>
          <w:szCs w:val="24"/>
        </w:rPr>
        <w:lastRenderedPageBreak/>
        <w:t>risks of NRT in this patient population are small in relation to the risks of continued tobacco use.</w:t>
      </w:r>
    </w:p>
    <w:p w:rsidR="00272F14" w:rsidRDefault="00272F14" w:rsidP="00603B6B">
      <w:pPr>
        <w:numPr>
          <w:ilvl w:val="1"/>
          <w:numId w:val="1"/>
        </w:numPr>
        <w:spacing w:after="0" w:line="360" w:lineRule="auto"/>
        <w:rPr>
          <w:rFonts w:ascii="Arial" w:hAnsi="Arial" w:cs="Arial"/>
          <w:sz w:val="24"/>
          <w:szCs w:val="24"/>
        </w:rPr>
      </w:pPr>
      <w:r>
        <w:rPr>
          <w:rFonts w:ascii="Arial" w:hAnsi="Arial" w:cs="Arial"/>
          <w:sz w:val="24"/>
          <w:szCs w:val="24"/>
        </w:rPr>
        <w:t xml:space="preserve">The </w:t>
      </w:r>
      <w:r w:rsidRPr="00272F14">
        <w:rPr>
          <w:rFonts w:ascii="Arial" w:hAnsi="Arial" w:cs="Arial"/>
          <w:sz w:val="24"/>
          <w:szCs w:val="24"/>
        </w:rPr>
        <w:t>combination estrogen-progestin contraceptives should not be used in women who are older than 35 years of age and smoke.</w:t>
      </w:r>
      <w:r>
        <w:rPr>
          <w:rFonts w:ascii="Arial" w:hAnsi="Arial" w:cs="Arial"/>
          <w:sz w:val="24"/>
          <w:szCs w:val="24"/>
        </w:rPr>
        <w:t xml:space="preserve"> It is</w:t>
      </w:r>
      <w:r w:rsidRPr="00272F14">
        <w:rPr>
          <w:rFonts w:ascii="Arial" w:hAnsi="Arial" w:cs="Arial"/>
          <w:sz w:val="24"/>
          <w:szCs w:val="24"/>
        </w:rPr>
        <w:t xml:space="preserve"> recommend</w:t>
      </w:r>
      <w:r>
        <w:rPr>
          <w:rFonts w:ascii="Arial" w:hAnsi="Arial" w:cs="Arial"/>
          <w:sz w:val="24"/>
          <w:szCs w:val="24"/>
        </w:rPr>
        <w:t>ed that</w:t>
      </w:r>
      <w:r w:rsidRPr="00272F14">
        <w:rPr>
          <w:rFonts w:ascii="Arial" w:hAnsi="Arial" w:cs="Arial"/>
          <w:sz w:val="24"/>
          <w:szCs w:val="24"/>
        </w:rPr>
        <w:t xml:space="preserve"> the use of progestin-only contraceptives (oral and injectable formulations) and intrauterine devices</w:t>
      </w:r>
      <w:r>
        <w:rPr>
          <w:rFonts w:ascii="Arial" w:hAnsi="Arial" w:cs="Arial"/>
          <w:sz w:val="24"/>
          <w:szCs w:val="24"/>
        </w:rPr>
        <w:t xml:space="preserve"> be placed</w:t>
      </w:r>
      <w:r w:rsidRPr="00272F14">
        <w:rPr>
          <w:rFonts w:ascii="Arial" w:hAnsi="Arial" w:cs="Arial"/>
          <w:sz w:val="24"/>
          <w:szCs w:val="24"/>
        </w:rPr>
        <w:t xml:space="preserve"> in this population</w:t>
      </w:r>
      <w:r>
        <w:rPr>
          <w:rFonts w:ascii="Arial" w:hAnsi="Arial" w:cs="Arial"/>
          <w:sz w:val="24"/>
          <w:szCs w:val="24"/>
        </w:rPr>
        <w:t>.</w:t>
      </w:r>
    </w:p>
    <w:p w:rsidR="00FF6611" w:rsidRPr="00272F14" w:rsidRDefault="00FF6611" w:rsidP="00603B6B">
      <w:pPr>
        <w:spacing w:after="0" w:line="360" w:lineRule="auto"/>
        <w:ind w:left="1440"/>
        <w:rPr>
          <w:rFonts w:ascii="Arial" w:hAnsi="Arial" w:cs="Arial"/>
          <w:sz w:val="24"/>
          <w:szCs w:val="24"/>
        </w:rPr>
      </w:pPr>
    </w:p>
    <w:p w:rsidR="006943CD"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Know what population in whom medication has not been shown to be effective.</w:t>
      </w:r>
    </w:p>
    <w:p w:rsidR="00814566" w:rsidRDefault="006943CD" w:rsidP="00603B6B">
      <w:pPr>
        <w:numPr>
          <w:ilvl w:val="1"/>
          <w:numId w:val="1"/>
        </w:numPr>
        <w:spacing w:after="0" w:line="360" w:lineRule="auto"/>
        <w:rPr>
          <w:rFonts w:ascii="Arial" w:hAnsi="Arial" w:cs="Arial"/>
          <w:sz w:val="24"/>
          <w:szCs w:val="24"/>
        </w:rPr>
      </w:pPr>
      <w:r>
        <w:rPr>
          <w:rFonts w:ascii="Arial" w:hAnsi="Arial" w:cs="Arial"/>
          <w:sz w:val="24"/>
          <w:szCs w:val="24"/>
        </w:rPr>
        <w:t xml:space="preserve">Medication therapy is not effective in </w:t>
      </w:r>
      <w:r w:rsidRPr="006943CD">
        <w:rPr>
          <w:rFonts w:ascii="Arial" w:hAnsi="Arial" w:cs="Arial"/>
          <w:sz w:val="24"/>
          <w:szCs w:val="24"/>
        </w:rPr>
        <w:t xml:space="preserve">specific populations for which there is insufficient evidence (i.e., </w:t>
      </w:r>
      <w:r w:rsidRPr="006943CD">
        <w:rPr>
          <w:rFonts w:ascii="Arial" w:hAnsi="Arial" w:cs="Arial"/>
          <w:b/>
          <w:sz w:val="24"/>
          <w:szCs w:val="24"/>
        </w:rPr>
        <w:t>pregnant women, smokeless tobacco users, light smokers, adolescents</w:t>
      </w:r>
      <w:r w:rsidRPr="006943CD">
        <w:rPr>
          <w:rFonts w:ascii="Arial" w:hAnsi="Arial" w:cs="Arial"/>
          <w:sz w:val="24"/>
          <w:szCs w:val="24"/>
        </w:rPr>
        <w:t>).</w:t>
      </w:r>
      <w:r w:rsidR="00814566" w:rsidRPr="009D4746">
        <w:rPr>
          <w:rFonts w:ascii="Arial" w:hAnsi="Arial" w:cs="Arial"/>
          <w:sz w:val="24"/>
          <w:szCs w:val="24"/>
        </w:rPr>
        <w:t xml:space="preserve"> </w:t>
      </w:r>
    </w:p>
    <w:p w:rsidR="00FF6611" w:rsidRPr="009D4746" w:rsidRDefault="00FF6611" w:rsidP="00603B6B">
      <w:pPr>
        <w:spacing w:after="0" w:line="360" w:lineRule="auto"/>
        <w:ind w:left="1440"/>
        <w:rPr>
          <w:rFonts w:ascii="Arial" w:hAnsi="Arial" w:cs="Arial"/>
          <w:sz w:val="24"/>
          <w:szCs w:val="24"/>
        </w:rPr>
      </w:pPr>
    </w:p>
    <w:p w:rsidR="002746F3"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 xml:space="preserve">Recommend dose and duration of treatment for nicotine products, bupropion, and varenicline. </w:t>
      </w:r>
    </w:p>
    <w:p w:rsidR="002746F3" w:rsidRPr="00AF3B6B" w:rsidRDefault="00A25696" w:rsidP="00603B6B">
      <w:pPr>
        <w:numPr>
          <w:ilvl w:val="1"/>
          <w:numId w:val="1"/>
        </w:numPr>
        <w:spacing w:after="0" w:line="360" w:lineRule="auto"/>
        <w:rPr>
          <w:rFonts w:ascii="Arial" w:hAnsi="Arial" w:cs="Arial"/>
          <w:sz w:val="24"/>
          <w:szCs w:val="24"/>
        </w:rPr>
      </w:pPr>
      <w:r>
        <w:rPr>
          <w:rFonts w:ascii="Arial" w:hAnsi="Arial" w:cs="Arial"/>
          <w:b/>
          <w:sz w:val="24"/>
          <w:szCs w:val="24"/>
        </w:rPr>
        <w:t>Nicotine</w:t>
      </w:r>
      <w:r w:rsidR="006A386C">
        <w:rPr>
          <w:rFonts w:ascii="Arial" w:hAnsi="Arial" w:cs="Arial"/>
          <w:b/>
          <w:sz w:val="24"/>
          <w:szCs w:val="24"/>
        </w:rPr>
        <w:t xml:space="preserve"> transdermal</w:t>
      </w:r>
      <w:r>
        <w:rPr>
          <w:rFonts w:ascii="Arial" w:hAnsi="Arial" w:cs="Arial"/>
          <w:b/>
          <w:sz w:val="24"/>
          <w:szCs w:val="24"/>
        </w:rPr>
        <w:t xml:space="preserve"> patch</w:t>
      </w:r>
      <w:r w:rsidR="002746F3" w:rsidRPr="002746F3">
        <w:rPr>
          <w:rFonts w:ascii="Arial" w:hAnsi="Arial" w:cs="Arial"/>
          <w:b/>
          <w:sz w:val="24"/>
          <w:szCs w:val="24"/>
        </w:rPr>
        <w:t>:</w:t>
      </w:r>
      <w:r>
        <w:rPr>
          <w:rFonts w:ascii="Arial" w:hAnsi="Arial" w:cs="Arial"/>
          <w:b/>
          <w:sz w:val="24"/>
          <w:szCs w:val="24"/>
        </w:rPr>
        <w:t xml:space="preserve"> </w:t>
      </w:r>
      <w:r w:rsidR="006A386C" w:rsidRPr="006A386C">
        <w:rPr>
          <w:rFonts w:ascii="Arial" w:hAnsi="Arial" w:cs="Arial"/>
          <w:sz w:val="24"/>
          <w:szCs w:val="24"/>
        </w:rPr>
        <w:t>To start:</w:t>
      </w:r>
      <w:r w:rsidR="006A386C">
        <w:rPr>
          <w:rFonts w:ascii="Arial" w:hAnsi="Arial" w:cs="Arial"/>
          <w:b/>
          <w:sz w:val="24"/>
          <w:szCs w:val="24"/>
        </w:rPr>
        <w:t xml:space="preserve"> </w:t>
      </w:r>
      <w:r w:rsidR="006A386C" w:rsidRPr="006A386C">
        <w:rPr>
          <w:rFonts w:ascii="Arial" w:hAnsi="Arial" w:cs="Arial"/>
          <w:sz w:val="24"/>
          <w:szCs w:val="24"/>
        </w:rPr>
        <w:t>&gt;10 cigarettes/day</w:t>
      </w:r>
      <w:r w:rsidR="006A386C">
        <w:rPr>
          <w:rFonts w:ascii="Arial" w:hAnsi="Arial" w:cs="Arial"/>
          <w:sz w:val="24"/>
          <w:szCs w:val="24"/>
        </w:rPr>
        <w:t xml:space="preserve"> is </w:t>
      </w:r>
      <w:r w:rsidR="006A386C" w:rsidRPr="006A386C">
        <w:rPr>
          <w:rFonts w:ascii="Arial" w:hAnsi="Arial" w:cs="Arial"/>
          <w:sz w:val="24"/>
          <w:szCs w:val="24"/>
        </w:rPr>
        <w:t>21 mg/day</w:t>
      </w:r>
      <w:r w:rsidR="006A386C">
        <w:rPr>
          <w:rFonts w:ascii="Arial" w:hAnsi="Arial" w:cs="Arial"/>
          <w:sz w:val="24"/>
          <w:szCs w:val="24"/>
        </w:rPr>
        <w:t xml:space="preserve"> </w:t>
      </w:r>
      <w:r w:rsidR="006A386C" w:rsidRPr="006A386C">
        <w:rPr>
          <w:rFonts w:ascii="Arial" w:hAnsi="Arial" w:cs="Arial"/>
          <w:sz w:val="24"/>
          <w:szCs w:val="24"/>
        </w:rPr>
        <w:t>× 4 weeks (generic)</w:t>
      </w:r>
      <w:r w:rsidR="006A386C">
        <w:rPr>
          <w:rFonts w:ascii="Arial" w:hAnsi="Arial" w:cs="Arial"/>
          <w:sz w:val="24"/>
          <w:szCs w:val="24"/>
        </w:rPr>
        <w:t xml:space="preserve"> or </w:t>
      </w:r>
      <w:r w:rsidR="006A386C" w:rsidRPr="006A386C">
        <w:rPr>
          <w:rFonts w:ascii="Arial" w:hAnsi="Arial" w:cs="Arial"/>
          <w:sz w:val="24"/>
          <w:szCs w:val="24"/>
        </w:rPr>
        <w:t>× 6 weeks (</w:t>
      </w:r>
      <w:proofErr w:type="spellStart"/>
      <w:r w:rsidR="006A386C" w:rsidRPr="006A386C">
        <w:rPr>
          <w:rFonts w:ascii="Arial" w:hAnsi="Arial" w:cs="Arial"/>
          <w:sz w:val="24"/>
          <w:szCs w:val="24"/>
        </w:rPr>
        <w:t>Nicoderm</w:t>
      </w:r>
      <w:proofErr w:type="spellEnd"/>
      <w:r w:rsidR="006A386C" w:rsidRPr="006A386C">
        <w:rPr>
          <w:rFonts w:ascii="Arial" w:hAnsi="Arial" w:cs="Arial"/>
          <w:sz w:val="24"/>
          <w:szCs w:val="24"/>
        </w:rPr>
        <w:t xml:space="preserve"> CQ)</w:t>
      </w:r>
      <w:r w:rsidR="006A386C">
        <w:rPr>
          <w:rFonts w:ascii="Arial" w:hAnsi="Arial" w:cs="Arial"/>
          <w:sz w:val="24"/>
          <w:szCs w:val="24"/>
        </w:rPr>
        <w:t xml:space="preserve">; </w:t>
      </w:r>
      <w:r w:rsidR="006A386C" w:rsidRPr="006A386C">
        <w:rPr>
          <w:rFonts w:ascii="Arial" w:hAnsi="Arial" w:cs="Arial"/>
          <w:sz w:val="24"/>
          <w:szCs w:val="24"/>
        </w:rPr>
        <w:t>14 mg/day × 2 weeks</w:t>
      </w:r>
      <w:r w:rsidR="006A386C">
        <w:rPr>
          <w:rFonts w:ascii="Arial" w:hAnsi="Arial" w:cs="Arial"/>
          <w:sz w:val="24"/>
          <w:szCs w:val="24"/>
        </w:rPr>
        <w:t xml:space="preserve">; </w:t>
      </w:r>
      <w:r w:rsidR="006A386C" w:rsidRPr="006A386C">
        <w:rPr>
          <w:rFonts w:ascii="Arial" w:hAnsi="Arial" w:cs="Arial"/>
          <w:sz w:val="24"/>
          <w:szCs w:val="24"/>
        </w:rPr>
        <w:t>7 mg/day × 2 weeks</w:t>
      </w:r>
      <w:r w:rsidR="006A386C">
        <w:rPr>
          <w:rFonts w:ascii="Arial" w:hAnsi="Arial" w:cs="Arial"/>
          <w:sz w:val="24"/>
          <w:szCs w:val="24"/>
        </w:rPr>
        <w:t>. To start: ≤10 cigarettes/day is</w:t>
      </w:r>
      <w:r w:rsidR="006A386C" w:rsidRPr="006A386C">
        <w:rPr>
          <w:rFonts w:ascii="Arial" w:hAnsi="Arial" w:cs="Arial"/>
          <w:sz w:val="24"/>
          <w:szCs w:val="24"/>
        </w:rPr>
        <w:t>14 mg/day × 6 weeks</w:t>
      </w:r>
      <w:r w:rsidR="00AF3B6B">
        <w:rPr>
          <w:rFonts w:ascii="Arial" w:hAnsi="Arial" w:cs="Arial"/>
          <w:sz w:val="24"/>
          <w:szCs w:val="24"/>
        </w:rPr>
        <w:t xml:space="preserve">; </w:t>
      </w:r>
      <w:r w:rsidR="006A386C" w:rsidRPr="00AF3B6B">
        <w:rPr>
          <w:rFonts w:ascii="Arial" w:hAnsi="Arial" w:cs="Arial"/>
          <w:sz w:val="24"/>
          <w:szCs w:val="24"/>
        </w:rPr>
        <w:t>7 mg/day × 2 weeks</w:t>
      </w:r>
      <w:r w:rsidR="00AF3B6B">
        <w:rPr>
          <w:rFonts w:ascii="Arial" w:hAnsi="Arial" w:cs="Arial"/>
          <w:sz w:val="24"/>
          <w:szCs w:val="24"/>
        </w:rPr>
        <w:t>.</w:t>
      </w:r>
      <w:r w:rsidR="00670ECE">
        <w:rPr>
          <w:rFonts w:ascii="Arial" w:hAnsi="Arial" w:cs="Arial"/>
          <w:sz w:val="24"/>
          <w:szCs w:val="24"/>
        </w:rPr>
        <w:t xml:space="preserve"> Remove at night if there are sleep disturbances.</w:t>
      </w:r>
      <w:r w:rsidR="00AF3B6B">
        <w:rPr>
          <w:rFonts w:ascii="Arial" w:hAnsi="Arial" w:cs="Arial"/>
          <w:sz w:val="24"/>
          <w:szCs w:val="24"/>
        </w:rPr>
        <w:t xml:space="preserve"> Duration is 8-12 weeks.</w:t>
      </w:r>
    </w:p>
    <w:p w:rsidR="00A25696" w:rsidRPr="006A386C" w:rsidRDefault="006A386C" w:rsidP="00603B6B">
      <w:pPr>
        <w:numPr>
          <w:ilvl w:val="1"/>
          <w:numId w:val="1"/>
        </w:numPr>
        <w:spacing w:after="0" w:line="360" w:lineRule="auto"/>
        <w:rPr>
          <w:rFonts w:ascii="Arial" w:hAnsi="Arial" w:cs="Arial"/>
          <w:sz w:val="24"/>
          <w:szCs w:val="24"/>
        </w:rPr>
      </w:pPr>
      <w:r w:rsidRPr="006A386C">
        <w:rPr>
          <w:rFonts w:ascii="Arial" w:hAnsi="Arial" w:cs="Arial"/>
          <w:b/>
          <w:sz w:val="24"/>
          <w:szCs w:val="24"/>
        </w:rPr>
        <w:t>Nicotine l</w:t>
      </w:r>
      <w:r w:rsidR="00A25696" w:rsidRPr="006A386C">
        <w:rPr>
          <w:rFonts w:ascii="Arial" w:hAnsi="Arial" w:cs="Arial"/>
          <w:b/>
          <w:sz w:val="24"/>
          <w:szCs w:val="24"/>
        </w:rPr>
        <w:t>ozenge:</w:t>
      </w:r>
      <w:r>
        <w:rPr>
          <w:rFonts w:ascii="Arial" w:hAnsi="Arial" w:cs="Arial"/>
          <w:b/>
          <w:sz w:val="24"/>
          <w:szCs w:val="24"/>
        </w:rPr>
        <w:t xml:space="preserve"> </w:t>
      </w:r>
      <w:r w:rsidRPr="006A386C">
        <w:rPr>
          <w:rFonts w:ascii="Arial" w:hAnsi="Arial" w:cs="Arial"/>
          <w:sz w:val="24"/>
          <w:szCs w:val="24"/>
        </w:rPr>
        <w:t>To start</w:t>
      </w:r>
      <w:r>
        <w:rPr>
          <w:rFonts w:ascii="Arial" w:hAnsi="Arial" w:cs="Arial"/>
          <w:sz w:val="24"/>
          <w:szCs w:val="24"/>
        </w:rPr>
        <w:t xml:space="preserve">: </w:t>
      </w:r>
      <w:r w:rsidRPr="006A386C">
        <w:rPr>
          <w:rFonts w:ascii="Arial" w:hAnsi="Arial" w:cs="Arial"/>
          <w:sz w:val="24"/>
          <w:szCs w:val="24"/>
        </w:rPr>
        <w:t>First cig</w:t>
      </w:r>
      <w:r>
        <w:rPr>
          <w:rFonts w:ascii="Arial" w:hAnsi="Arial" w:cs="Arial"/>
          <w:sz w:val="24"/>
          <w:szCs w:val="24"/>
        </w:rPr>
        <w:t>arette ≤30 minutes after waking is</w:t>
      </w:r>
      <w:r w:rsidRPr="006A386C">
        <w:rPr>
          <w:rFonts w:ascii="Arial" w:hAnsi="Arial" w:cs="Arial"/>
          <w:sz w:val="24"/>
          <w:szCs w:val="24"/>
        </w:rPr>
        <w:t xml:space="preserve"> 4 mg</w:t>
      </w:r>
      <w:r>
        <w:rPr>
          <w:rFonts w:ascii="Arial" w:hAnsi="Arial" w:cs="Arial"/>
          <w:sz w:val="24"/>
          <w:szCs w:val="24"/>
        </w:rPr>
        <w:t xml:space="preserve"> and f</w:t>
      </w:r>
      <w:r w:rsidRPr="006A386C">
        <w:rPr>
          <w:rFonts w:ascii="Arial" w:hAnsi="Arial" w:cs="Arial"/>
          <w:sz w:val="24"/>
          <w:szCs w:val="24"/>
        </w:rPr>
        <w:t>irst cig</w:t>
      </w:r>
      <w:r>
        <w:rPr>
          <w:rFonts w:ascii="Arial" w:hAnsi="Arial" w:cs="Arial"/>
          <w:sz w:val="24"/>
          <w:szCs w:val="24"/>
        </w:rPr>
        <w:t>arette &gt;30 minutes after waking is</w:t>
      </w:r>
      <w:r w:rsidRPr="006A386C">
        <w:rPr>
          <w:rFonts w:ascii="Arial" w:hAnsi="Arial" w:cs="Arial"/>
          <w:sz w:val="24"/>
          <w:szCs w:val="24"/>
        </w:rPr>
        <w:t xml:space="preserve"> 2 mg</w:t>
      </w:r>
      <w:r>
        <w:rPr>
          <w:rFonts w:ascii="Arial" w:hAnsi="Arial" w:cs="Arial"/>
          <w:sz w:val="24"/>
          <w:szCs w:val="24"/>
        </w:rPr>
        <w:t xml:space="preserve">. </w:t>
      </w:r>
      <w:r w:rsidRPr="006A386C">
        <w:rPr>
          <w:rFonts w:ascii="Arial" w:hAnsi="Arial" w:cs="Arial"/>
          <w:sz w:val="24"/>
          <w:szCs w:val="24"/>
        </w:rPr>
        <w:t>Weeks 1–6:</w:t>
      </w:r>
      <w:r>
        <w:rPr>
          <w:rFonts w:ascii="Arial" w:hAnsi="Arial" w:cs="Arial"/>
          <w:sz w:val="24"/>
          <w:szCs w:val="24"/>
        </w:rPr>
        <w:t xml:space="preserve"> </w:t>
      </w:r>
      <w:r w:rsidRPr="006A386C">
        <w:rPr>
          <w:rFonts w:ascii="Arial" w:hAnsi="Arial" w:cs="Arial"/>
          <w:sz w:val="24"/>
          <w:szCs w:val="24"/>
        </w:rPr>
        <w:t>1 lozenge Q 1–2 hr</w:t>
      </w:r>
      <w:r>
        <w:rPr>
          <w:rFonts w:ascii="Arial" w:hAnsi="Arial" w:cs="Arial"/>
          <w:sz w:val="24"/>
          <w:szCs w:val="24"/>
        </w:rPr>
        <w:t xml:space="preserve">; </w:t>
      </w:r>
      <w:r w:rsidRPr="006A386C">
        <w:rPr>
          <w:rFonts w:ascii="Arial" w:hAnsi="Arial" w:cs="Arial"/>
          <w:sz w:val="24"/>
          <w:szCs w:val="24"/>
        </w:rPr>
        <w:t>Weeks 7–9:</w:t>
      </w:r>
      <w:r>
        <w:rPr>
          <w:rFonts w:ascii="Arial" w:hAnsi="Arial" w:cs="Arial"/>
          <w:sz w:val="24"/>
          <w:szCs w:val="24"/>
        </w:rPr>
        <w:t xml:space="preserve"> </w:t>
      </w:r>
      <w:r w:rsidRPr="006A386C">
        <w:rPr>
          <w:rFonts w:ascii="Arial" w:hAnsi="Arial" w:cs="Arial"/>
          <w:sz w:val="24"/>
          <w:szCs w:val="24"/>
        </w:rPr>
        <w:t>1 lozenge Q 2–4 hr</w:t>
      </w:r>
      <w:r>
        <w:rPr>
          <w:rFonts w:ascii="Arial" w:hAnsi="Arial" w:cs="Arial"/>
          <w:sz w:val="24"/>
          <w:szCs w:val="24"/>
        </w:rPr>
        <w:t xml:space="preserve">; </w:t>
      </w:r>
      <w:r w:rsidRPr="006A386C">
        <w:rPr>
          <w:rFonts w:ascii="Arial" w:hAnsi="Arial" w:cs="Arial"/>
          <w:sz w:val="24"/>
          <w:szCs w:val="24"/>
        </w:rPr>
        <w:t>Weeks 10–12:</w:t>
      </w:r>
      <w:r>
        <w:rPr>
          <w:rFonts w:ascii="Arial" w:hAnsi="Arial" w:cs="Arial"/>
          <w:sz w:val="24"/>
          <w:szCs w:val="24"/>
        </w:rPr>
        <w:t xml:space="preserve"> </w:t>
      </w:r>
      <w:r w:rsidRPr="006A386C">
        <w:rPr>
          <w:rFonts w:ascii="Arial" w:hAnsi="Arial" w:cs="Arial"/>
          <w:sz w:val="24"/>
          <w:szCs w:val="24"/>
        </w:rPr>
        <w:t>1 lozenge Q 4–8 hr</w:t>
      </w:r>
      <w:r>
        <w:rPr>
          <w:rFonts w:ascii="Arial" w:hAnsi="Arial" w:cs="Arial"/>
          <w:sz w:val="24"/>
          <w:szCs w:val="24"/>
        </w:rPr>
        <w:t>. With a maximum of 20 lozenges/day. Duration up to 12 weeks.</w:t>
      </w:r>
    </w:p>
    <w:p w:rsidR="00A25696" w:rsidRPr="006A386C" w:rsidRDefault="00A25696" w:rsidP="00603B6B">
      <w:pPr>
        <w:numPr>
          <w:ilvl w:val="1"/>
          <w:numId w:val="1"/>
        </w:numPr>
        <w:spacing w:after="0" w:line="360" w:lineRule="auto"/>
        <w:rPr>
          <w:rFonts w:ascii="Arial" w:hAnsi="Arial" w:cs="Arial"/>
          <w:b/>
          <w:sz w:val="24"/>
          <w:szCs w:val="24"/>
        </w:rPr>
      </w:pPr>
      <w:r w:rsidRPr="006A386C">
        <w:rPr>
          <w:rFonts w:ascii="Arial" w:hAnsi="Arial" w:cs="Arial"/>
          <w:b/>
          <w:sz w:val="24"/>
          <w:szCs w:val="24"/>
        </w:rPr>
        <w:t xml:space="preserve">Nicotine </w:t>
      </w:r>
      <w:r w:rsidR="006A386C" w:rsidRPr="006A386C">
        <w:rPr>
          <w:rFonts w:ascii="Arial" w:hAnsi="Arial" w:cs="Arial"/>
          <w:b/>
          <w:sz w:val="24"/>
          <w:szCs w:val="24"/>
        </w:rPr>
        <w:t>gum:</w:t>
      </w:r>
      <w:r w:rsidR="006A386C">
        <w:rPr>
          <w:rFonts w:ascii="Arial" w:hAnsi="Arial" w:cs="Arial"/>
          <w:b/>
          <w:sz w:val="24"/>
          <w:szCs w:val="24"/>
        </w:rPr>
        <w:t xml:space="preserve"> </w:t>
      </w:r>
      <w:r w:rsidR="006A386C" w:rsidRPr="006A386C">
        <w:rPr>
          <w:rFonts w:ascii="Arial" w:hAnsi="Arial" w:cs="Arial"/>
          <w:sz w:val="24"/>
          <w:szCs w:val="24"/>
        </w:rPr>
        <w:t>To start: ≥25 cigarettes/day is 4 mg and &lt;25 cigarettes/day is 2 mg. Weeks 1–6: 1 piece Q 1–2 hr; Weeks 7–9: 1 piece Q 2–4 hr; Weeks 10–12: 1 piece Q 4–8 hr</w:t>
      </w:r>
      <w:r w:rsidR="006A386C">
        <w:rPr>
          <w:rFonts w:ascii="Arial" w:hAnsi="Arial" w:cs="Arial"/>
          <w:sz w:val="24"/>
          <w:szCs w:val="24"/>
        </w:rPr>
        <w:t xml:space="preserve">. With a maximum of 24 pieces/day. </w:t>
      </w:r>
      <w:r w:rsidR="00670ECE">
        <w:rPr>
          <w:rFonts w:ascii="Arial" w:hAnsi="Arial" w:cs="Arial"/>
          <w:sz w:val="24"/>
          <w:szCs w:val="24"/>
        </w:rPr>
        <w:t xml:space="preserve">Use the “park” method. </w:t>
      </w:r>
      <w:r w:rsidR="006A386C">
        <w:rPr>
          <w:rFonts w:ascii="Arial" w:hAnsi="Arial" w:cs="Arial"/>
          <w:sz w:val="24"/>
          <w:szCs w:val="24"/>
        </w:rPr>
        <w:t>Duration up to 12 weeks.</w:t>
      </w:r>
    </w:p>
    <w:p w:rsidR="006A386C" w:rsidRPr="00AF3B6B" w:rsidRDefault="006A386C" w:rsidP="00603B6B">
      <w:pPr>
        <w:numPr>
          <w:ilvl w:val="1"/>
          <w:numId w:val="1"/>
        </w:numPr>
        <w:spacing w:after="0" w:line="360" w:lineRule="auto"/>
        <w:rPr>
          <w:rFonts w:ascii="Arial" w:hAnsi="Arial" w:cs="Arial"/>
          <w:sz w:val="24"/>
          <w:szCs w:val="24"/>
        </w:rPr>
      </w:pPr>
      <w:r w:rsidRPr="006A386C">
        <w:rPr>
          <w:rFonts w:ascii="Arial" w:hAnsi="Arial" w:cs="Arial"/>
          <w:b/>
          <w:sz w:val="24"/>
          <w:szCs w:val="24"/>
        </w:rPr>
        <w:t>Nicotine nasal spray:</w:t>
      </w:r>
      <w:r w:rsidR="00AF3B6B">
        <w:rPr>
          <w:rFonts w:ascii="Arial" w:hAnsi="Arial" w:cs="Arial"/>
          <w:b/>
          <w:sz w:val="24"/>
          <w:szCs w:val="24"/>
        </w:rPr>
        <w:t xml:space="preserve"> </w:t>
      </w:r>
      <w:r w:rsidR="00AF3B6B" w:rsidRPr="00AF3B6B">
        <w:rPr>
          <w:rFonts w:ascii="Arial" w:hAnsi="Arial" w:cs="Arial"/>
          <w:sz w:val="24"/>
          <w:szCs w:val="24"/>
        </w:rPr>
        <w:t>1–2 doses/hr</w:t>
      </w:r>
      <w:r w:rsidR="00AF3B6B">
        <w:rPr>
          <w:rFonts w:ascii="Arial" w:hAnsi="Arial" w:cs="Arial"/>
          <w:sz w:val="24"/>
          <w:szCs w:val="24"/>
        </w:rPr>
        <w:t xml:space="preserve"> </w:t>
      </w:r>
      <w:r w:rsidR="00AF3B6B" w:rsidRPr="00AF3B6B">
        <w:rPr>
          <w:rFonts w:ascii="Arial" w:hAnsi="Arial" w:cs="Arial"/>
          <w:sz w:val="24"/>
          <w:szCs w:val="24"/>
        </w:rPr>
        <w:t>(8–40 doses/day)</w:t>
      </w:r>
      <w:r w:rsidR="00AF3B6B">
        <w:rPr>
          <w:rFonts w:ascii="Arial" w:hAnsi="Arial" w:cs="Arial"/>
          <w:sz w:val="24"/>
          <w:szCs w:val="24"/>
        </w:rPr>
        <w:t xml:space="preserve">. </w:t>
      </w:r>
      <w:r w:rsidR="00AF3B6B" w:rsidRPr="00AF3B6B">
        <w:rPr>
          <w:rFonts w:ascii="Arial" w:hAnsi="Arial" w:cs="Arial"/>
          <w:sz w:val="24"/>
          <w:szCs w:val="24"/>
        </w:rPr>
        <w:t xml:space="preserve">One dose = 2 sprays (one in each nostril); each spray delivers 0.5 mg of nicotine to the </w:t>
      </w:r>
      <w:r w:rsidR="00AF3B6B" w:rsidRPr="00AF3B6B">
        <w:rPr>
          <w:rFonts w:ascii="Arial" w:hAnsi="Arial" w:cs="Arial"/>
          <w:sz w:val="24"/>
          <w:szCs w:val="24"/>
        </w:rPr>
        <w:lastRenderedPageBreak/>
        <w:t>nasal mucosa</w:t>
      </w:r>
      <w:r w:rsidR="00AF3B6B">
        <w:rPr>
          <w:rFonts w:ascii="Arial" w:hAnsi="Arial" w:cs="Arial"/>
          <w:sz w:val="24"/>
          <w:szCs w:val="24"/>
        </w:rPr>
        <w:t>.</w:t>
      </w:r>
      <w:r w:rsidR="00AF3B6B" w:rsidRPr="00AF3B6B">
        <w:t xml:space="preserve"> </w:t>
      </w:r>
      <w:r w:rsidR="00AF3B6B" w:rsidRPr="00AF3B6B">
        <w:rPr>
          <w:rFonts w:ascii="Arial" w:hAnsi="Arial" w:cs="Arial"/>
          <w:sz w:val="24"/>
          <w:szCs w:val="24"/>
        </w:rPr>
        <w:t>For best results, initially use at least 8 doses/day</w:t>
      </w:r>
      <w:r w:rsidR="00AF3B6B">
        <w:rPr>
          <w:rFonts w:ascii="Arial" w:hAnsi="Arial" w:cs="Arial"/>
          <w:sz w:val="24"/>
          <w:szCs w:val="24"/>
        </w:rPr>
        <w:t>. The Maximum is 5 doses/hr. or 40 doses/day. Duration is 3-6 months.</w:t>
      </w:r>
    </w:p>
    <w:p w:rsidR="006A386C" w:rsidRPr="00AF3B6B" w:rsidRDefault="006A386C" w:rsidP="00603B6B">
      <w:pPr>
        <w:numPr>
          <w:ilvl w:val="1"/>
          <w:numId w:val="1"/>
        </w:numPr>
        <w:spacing w:after="0" w:line="360" w:lineRule="auto"/>
        <w:rPr>
          <w:rFonts w:ascii="Arial" w:hAnsi="Arial" w:cs="Arial"/>
          <w:b/>
          <w:sz w:val="24"/>
          <w:szCs w:val="24"/>
        </w:rPr>
      </w:pPr>
      <w:r w:rsidRPr="006A386C">
        <w:rPr>
          <w:rFonts w:ascii="Arial" w:hAnsi="Arial" w:cs="Arial"/>
          <w:b/>
          <w:sz w:val="24"/>
          <w:szCs w:val="24"/>
        </w:rPr>
        <w:t>Nicotine Inhaler:</w:t>
      </w:r>
      <w:r w:rsidR="00AF3B6B">
        <w:rPr>
          <w:rFonts w:ascii="Arial" w:hAnsi="Arial" w:cs="Arial"/>
          <w:b/>
          <w:sz w:val="24"/>
          <w:szCs w:val="24"/>
        </w:rPr>
        <w:t xml:space="preserve"> </w:t>
      </w:r>
      <w:r w:rsidR="00AF3B6B" w:rsidRPr="00AF3B6B">
        <w:rPr>
          <w:rFonts w:ascii="Arial" w:hAnsi="Arial" w:cs="Arial"/>
          <w:sz w:val="24"/>
          <w:szCs w:val="24"/>
        </w:rPr>
        <w:t>6–16 cartridges/day. Individualize dosing; initially use 1 cartridge Q 1–2 hr.</w:t>
      </w:r>
      <w:r w:rsidR="00AF3B6B">
        <w:rPr>
          <w:rFonts w:ascii="Arial" w:hAnsi="Arial" w:cs="Arial"/>
          <w:sz w:val="24"/>
          <w:szCs w:val="24"/>
        </w:rPr>
        <w:t xml:space="preserve"> </w:t>
      </w:r>
      <w:r w:rsidR="00AF3B6B" w:rsidRPr="00AF3B6B">
        <w:rPr>
          <w:rFonts w:ascii="Arial" w:hAnsi="Arial" w:cs="Arial"/>
          <w:sz w:val="24"/>
          <w:szCs w:val="24"/>
        </w:rPr>
        <w:t>Best effects with continuous puffing for 20 minutes</w:t>
      </w:r>
      <w:r w:rsidR="00AF3B6B">
        <w:rPr>
          <w:rFonts w:ascii="Arial" w:hAnsi="Arial" w:cs="Arial"/>
          <w:sz w:val="24"/>
          <w:szCs w:val="24"/>
        </w:rPr>
        <w:t>. Do not inhale. Open cartridge is good for 24 hours.</w:t>
      </w:r>
      <w:r w:rsidR="00AF3B6B" w:rsidRPr="00AF3B6B">
        <w:rPr>
          <w:rFonts w:ascii="Arial" w:hAnsi="Arial" w:cs="Arial"/>
          <w:sz w:val="24"/>
          <w:szCs w:val="24"/>
        </w:rPr>
        <w:t xml:space="preserve"> Duration up to 6 months.</w:t>
      </w:r>
    </w:p>
    <w:p w:rsidR="002746F3" w:rsidRPr="002746F3" w:rsidRDefault="002746F3" w:rsidP="00603B6B">
      <w:pPr>
        <w:numPr>
          <w:ilvl w:val="1"/>
          <w:numId w:val="1"/>
        </w:numPr>
        <w:spacing w:after="0" w:line="360" w:lineRule="auto"/>
        <w:rPr>
          <w:rFonts w:ascii="Arial" w:hAnsi="Arial" w:cs="Arial"/>
          <w:b/>
          <w:sz w:val="24"/>
          <w:szCs w:val="24"/>
        </w:rPr>
      </w:pPr>
      <w:r w:rsidRPr="002746F3">
        <w:rPr>
          <w:rFonts w:ascii="Arial" w:hAnsi="Arial" w:cs="Arial"/>
          <w:b/>
          <w:sz w:val="24"/>
          <w:szCs w:val="24"/>
        </w:rPr>
        <w:t>Bupropion:</w:t>
      </w:r>
      <w:r w:rsidR="00814566" w:rsidRPr="002746F3">
        <w:rPr>
          <w:rFonts w:ascii="Arial" w:hAnsi="Arial" w:cs="Arial"/>
          <w:b/>
          <w:sz w:val="24"/>
          <w:szCs w:val="24"/>
        </w:rPr>
        <w:t xml:space="preserve"> </w:t>
      </w:r>
      <w:r w:rsidR="00C16A31" w:rsidRPr="00C16A31">
        <w:rPr>
          <w:rFonts w:ascii="Arial" w:hAnsi="Arial" w:cs="Arial"/>
          <w:sz w:val="24"/>
          <w:szCs w:val="24"/>
        </w:rPr>
        <w:t>initiated while the patient is still smoking because approximately 1 week of treatment is necessary to achieve steady-state blood level</w:t>
      </w:r>
      <w:r w:rsidR="00C16A31">
        <w:rPr>
          <w:rFonts w:ascii="Arial" w:hAnsi="Arial" w:cs="Arial"/>
          <w:sz w:val="24"/>
          <w:szCs w:val="24"/>
        </w:rPr>
        <w:t>s. S</w:t>
      </w:r>
      <w:r w:rsidR="00C16A31" w:rsidRPr="00C16A31">
        <w:rPr>
          <w:rFonts w:ascii="Arial" w:hAnsi="Arial" w:cs="Arial"/>
          <w:sz w:val="24"/>
          <w:szCs w:val="24"/>
        </w:rPr>
        <w:t>et a target quit date that falls within the first 2 weeks of treatment, generally in the second week. The starting dose of bupropion SR is one 150-mg tablet each morning for the first 3 days. If the initial dose is tolerated, the dosage should be increased on the fourth day to the recommended maximum dosage of 300 mg/day (150 mg BID). Therapy should be continued for 7 to 12 weeks after the quit date; however, some patients might benefit from extended treatment.</w:t>
      </w:r>
      <w:r w:rsidR="00C16A31">
        <w:rPr>
          <w:rFonts w:ascii="Arial" w:hAnsi="Arial" w:cs="Arial"/>
          <w:sz w:val="24"/>
          <w:szCs w:val="24"/>
        </w:rPr>
        <w:t xml:space="preserve"> For patients not able to tolerate the maximum daily dose, </w:t>
      </w:r>
      <w:r w:rsidR="00C16A31" w:rsidRPr="00C16A31">
        <w:rPr>
          <w:rFonts w:ascii="Arial" w:hAnsi="Arial" w:cs="Arial"/>
          <w:sz w:val="24"/>
          <w:szCs w:val="24"/>
        </w:rPr>
        <w:t>150 mg/day is better tolerated and exhibits comparable long-term efficacy</w:t>
      </w:r>
      <w:r w:rsidR="00C16A31">
        <w:rPr>
          <w:rFonts w:ascii="Arial" w:hAnsi="Arial" w:cs="Arial"/>
          <w:sz w:val="24"/>
          <w:szCs w:val="24"/>
        </w:rPr>
        <w:t>.</w:t>
      </w:r>
    </w:p>
    <w:p w:rsidR="00814566" w:rsidRDefault="002746F3" w:rsidP="00603B6B">
      <w:pPr>
        <w:numPr>
          <w:ilvl w:val="1"/>
          <w:numId w:val="1"/>
        </w:numPr>
        <w:spacing w:after="0" w:line="360" w:lineRule="auto"/>
        <w:rPr>
          <w:rFonts w:ascii="Arial" w:hAnsi="Arial" w:cs="Arial"/>
          <w:sz w:val="24"/>
          <w:szCs w:val="24"/>
        </w:rPr>
      </w:pPr>
      <w:r w:rsidRPr="002746F3">
        <w:rPr>
          <w:rFonts w:ascii="Arial" w:hAnsi="Arial" w:cs="Arial"/>
          <w:b/>
          <w:sz w:val="24"/>
          <w:szCs w:val="24"/>
        </w:rPr>
        <w:t>Varenicline</w:t>
      </w:r>
      <w:r>
        <w:rPr>
          <w:rFonts w:ascii="Arial" w:hAnsi="Arial" w:cs="Arial"/>
          <w:sz w:val="24"/>
          <w:szCs w:val="24"/>
        </w:rPr>
        <w:t>:</w:t>
      </w:r>
      <w:r w:rsidR="00814566" w:rsidRPr="009D4746">
        <w:rPr>
          <w:rFonts w:ascii="Arial" w:hAnsi="Arial" w:cs="Arial"/>
          <w:sz w:val="24"/>
          <w:szCs w:val="24"/>
        </w:rPr>
        <w:t xml:space="preserve"> </w:t>
      </w:r>
      <w:r w:rsidRPr="002746F3">
        <w:rPr>
          <w:rFonts w:ascii="Arial" w:hAnsi="Arial" w:cs="Arial"/>
          <w:sz w:val="24"/>
          <w:szCs w:val="24"/>
        </w:rPr>
        <w:t>initiated 1 week before the patient stops smoking</w:t>
      </w:r>
      <w:r>
        <w:rPr>
          <w:rFonts w:ascii="Arial" w:hAnsi="Arial" w:cs="Arial"/>
          <w:sz w:val="24"/>
          <w:szCs w:val="24"/>
        </w:rPr>
        <w:t>, then t</w:t>
      </w:r>
      <w:r w:rsidRPr="002746F3">
        <w:rPr>
          <w:rFonts w:ascii="Arial" w:hAnsi="Arial" w:cs="Arial"/>
          <w:sz w:val="24"/>
          <w:szCs w:val="24"/>
        </w:rPr>
        <w:t>he recommended dose of varenicline is 1 mg BID (taken as one 1-mg tablet in the morning and one 1-mg tablet in the evening) following a 1-week titration: 0.5 mg daily days 1 to 3, 0.5 mg twice daily days 4 to 7, and 1 mg twice daily weeks 2 to 12</w:t>
      </w:r>
      <w:r>
        <w:rPr>
          <w:rFonts w:ascii="Arial" w:hAnsi="Arial" w:cs="Arial"/>
          <w:sz w:val="24"/>
          <w:szCs w:val="24"/>
        </w:rPr>
        <w:t>. A</w:t>
      </w:r>
      <w:r w:rsidRPr="002746F3">
        <w:rPr>
          <w:rFonts w:ascii="Arial" w:hAnsi="Arial" w:cs="Arial"/>
          <w:sz w:val="24"/>
          <w:szCs w:val="24"/>
        </w:rPr>
        <w:t>n additional course of 12 weeks may be appropriate to increase the likelihood of long-term abstinence</w:t>
      </w:r>
      <w:r>
        <w:rPr>
          <w:rFonts w:ascii="Arial" w:hAnsi="Arial" w:cs="Arial"/>
          <w:sz w:val="24"/>
          <w:szCs w:val="24"/>
        </w:rPr>
        <w:t>.</w:t>
      </w:r>
    </w:p>
    <w:p w:rsidR="00FF6611" w:rsidRPr="009D4746" w:rsidRDefault="00FF6611" w:rsidP="00603B6B">
      <w:pPr>
        <w:spacing w:after="0" w:line="360" w:lineRule="auto"/>
        <w:ind w:left="1440"/>
        <w:rPr>
          <w:rFonts w:ascii="Arial" w:hAnsi="Arial" w:cs="Arial"/>
          <w:sz w:val="24"/>
          <w:szCs w:val="24"/>
        </w:rPr>
      </w:pPr>
    </w:p>
    <w:p w:rsidR="00814566"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Identify second line therapies and know the place in therapy for these agents.</w:t>
      </w:r>
    </w:p>
    <w:p w:rsidR="00490243" w:rsidRDefault="00490243" w:rsidP="00603B6B">
      <w:pPr>
        <w:numPr>
          <w:ilvl w:val="1"/>
          <w:numId w:val="1"/>
        </w:numPr>
        <w:spacing w:after="0" w:line="360" w:lineRule="auto"/>
        <w:rPr>
          <w:rFonts w:ascii="Arial" w:hAnsi="Arial" w:cs="Arial"/>
          <w:sz w:val="24"/>
          <w:szCs w:val="24"/>
        </w:rPr>
      </w:pPr>
      <w:r w:rsidRPr="00490243">
        <w:rPr>
          <w:rFonts w:ascii="Arial" w:hAnsi="Arial" w:cs="Arial"/>
          <w:sz w:val="24"/>
          <w:szCs w:val="24"/>
        </w:rPr>
        <w:t>Pharmacologic agents that have not received FDA approval for smoking cessation but are re</w:t>
      </w:r>
      <w:r>
        <w:rPr>
          <w:rFonts w:ascii="Arial" w:hAnsi="Arial" w:cs="Arial"/>
          <w:sz w:val="24"/>
          <w:szCs w:val="24"/>
        </w:rPr>
        <w:t>commended as second-line agents</w:t>
      </w:r>
      <w:r w:rsidRPr="00490243">
        <w:rPr>
          <w:rFonts w:ascii="Arial" w:hAnsi="Arial" w:cs="Arial"/>
          <w:sz w:val="24"/>
          <w:szCs w:val="24"/>
        </w:rPr>
        <w:t xml:space="preserve"> include clonidine and nortriptyline.</w:t>
      </w:r>
    </w:p>
    <w:p w:rsidR="00FF6611" w:rsidRDefault="00FF6611" w:rsidP="00603B6B">
      <w:pPr>
        <w:numPr>
          <w:ilvl w:val="1"/>
          <w:numId w:val="1"/>
        </w:numPr>
        <w:spacing w:after="0" w:line="360" w:lineRule="auto"/>
        <w:rPr>
          <w:rFonts w:ascii="Arial" w:hAnsi="Arial" w:cs="Arial"/>
          <w:sz w:val="24"/>
          <w:szCs w:val="24"/>
        </w:rPr>
      </w:pPr>
      <w:r w:rsidRPr="00FF6611">
        <w:rPr>
          <w:rFonts w:ascii="Arial" w:hAnsi="Arial" w:cs="Arial"/>
          <w:b/>
          <w:sz w:val="24"/>
          <w:szCs w:val="24"/>
        </w:rPr>
        <w:t>Clonidine</w:t>
      </w:r>
      <w:r>
        <w:rPr>
          <w:rFonts w:ascii="Arial" w:hAnsi="Arial" w:cs="Arial"/>
          <w:sz w:val="24"/>
          <w:szCs w:val="24"/>
        </w:rPr>
        <w:t xml:space="preserve">: </w:t>
      </w:r>
      <w:r w:rsidRPr="00FF6611">
        <w:rPr>
          <w:rFonts w:ascii="Arial" w:hAnsi="Arial" w:cs="Arial"/>
          <w:sz w:val="24"/>
          <w:szCs w:val="24"/>
        </w:rPr>
        <w:t>The high incidence of side effects, including dry mouth, sedation, dizziness, and constipation, relegate clonidine as a second-line agent reserved for individuals who have failed or are intolerant of first-line agents.</w:t>
      </w:r>
    </w:p>
    <w:p w:rsidR="00FF6611" w:rsidRDefault="00FF6611" w:rsidP="00603B6B">
      <w:pPr>
        <w:numPr>
          <w:ilvl w:val="1"/>
          <w:numId w:val="1"/>
        </w:numPr>
        <w:spacing w:after="0" w:line="360" w:lineRule="auto"/>
        <w:rPr>
          <w:rFonts w:ascii="Arial" w:hAnsi="Arial" w:cs="Arial"/>
          <w:sz w:val="24"/>
          <w:szCs w:val="24"/>
        </w:rPr>
      </w:pPr>
      <w:r w:rsidRPr="00FF6611">
        <w:rPr>
          <w:rFonts w:ascii="Arial" w:hAnsi="Arial" w:cs="Arial"/>
          <w:b/>
          <w:sz w:val="24"/>
          <w:szCs w:val="24"/>
        </w:rPr>
        <w:lastRenderedPageBreak/>
        <w:t>Nortriptyline</w:t>
      </w:r>
      <w:r w:rsidR="003E66B9">
        <w:rPr>
          <w:rFonts w:ascii="Arial" w:hAnsi="Arial" w:cs="Arial"/>
          <w:b/>
          <w:sz w:val="24"/>
          <w:szCs w:val="24"/>
        </w:rPr>
        <w:t xml:space="preserve"> (TCA)</w:t>
      </w:r>
      <w:r>
        <w:rPr>
          <w:rFonts w:ascii="Arial" w:hAnsi="Arial" w:cs="Arial"/>
          <w:sz w:val="24"/>
          <w:szCs w:val="24"/>
        </w:rPr>
        <w:t xml:space="preserve">: </w:t>
      </w:r>
      <w:r w:rsidRPr="00FF6611">
        <w:rPr>
          <w:rFonts w:ascii="Arial" w:hAnsi="Arial" w:cs="Arial"/>
          <w:sz w:val="24"/>
          <w:szCs w:val="24"/>
        </w:rPr>
        <w:t>The side effects most commonly observed with nortriptyline include sedation, dry mouth, blurred vision, urinary retention, lightheadedness, and tremor. This drug should be used with caution in patients with underlying cardiovascular conditions because of the risk of arrhythmias and postural hypotension</w:t>
      </w:r>
      <w:r>
        <w:rPr>
          <w:rFonts w:ascii="Arial" w:hAnsi="Arial" w:cs="Arial"/>
          <w:sz w:val="24"/>
          <w:szCs w:val="24"/>
        </w:rPr>
        <w:t>.</w:t>
      </w:r>
    </w:p>
    <w:p w:rsidR="00FF6611" w:rsidRPr="009D4746" w:rsidRDefault="00FF6611" w:rsidP="00603B6B">
      <w:pPr>
        <w:spacing w:after="0" w:line="360" w:lineRule="auto"/>
        <w:ind w:left="1440"/>
        <w:rPr>
          <w:rFonts w:ascii="Arial" w:hAnsi="Arial" w:cs="Arial"/>
          <w:sz w:val="24"/>
          <w:szCs w:val="24"/>
        </w:rPr>
      </w:pPr>
    </w:p>
    <w:p w:rsidR="00814566"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 xml:space="preserve">For patients with depression or weight gain concerns, discuss what medications may potentially appear to help.  </w:t>
      </w:r>
    </w:p>
    <w:p w:rsidR="00A05A14" w:rsidRPr="00A05A14" w:rsidRDefault="00A05A14" w:rsidP="00603B6B">
      <w:pPr>
        <w:numPr>
          <w:ilvl w:val="1"/>
          <w:numId w:val="1"/>
        </w:numPr>
        <w:spacing w:after="0" w:line="360" w:lineRule="auto"/>
        <w:rPr>
          <w:rFonts w:ascii="Arial" w:hAnsi="Arial" w:cs="Arial"/>
          <w:b/>
          <w:sz w:val="24"/>
          <w:szCs w:val="24"/>
        </w:rPr>
      </w:pPr>
      <w:r w:rsidRPr="00A05A14">
        <w:rPr>
          <w:rFonts w:ascii="Arial" w:hAnsi="Arial" w:cs="Arial"/>
          <w:b/>
          <w:sz w:val="24"/>
          <w:szCs w:val="24"/>
        </w:rPr>
        <w:t>Weight Gain:</w:t>
      </w:r>
    </w:p>
    <w:p w:rsidR="00A05A14" w:rsidRDefault="00A05A14" w:rsidP="005938FB">
      <w:pPr>
        <w:numPr>
          <w:ilvl w:val="2"/>
          <w:numId w:val="1"/>
        </w:numPr>
        <w:spacing w:after="0" w:line="360" w:lineRule="auto"/>
        <w:rPr>
          <w:rFonts w:ascii="Arial" w:hAnsi="Arial" w:cs="Arial"/>
          <w:sz w:val="24"/>
          <w:szCs w:val="24"/>
        </w:rPr>
      </w:pPr>
      <w:r>
        <w:rPr>
          <w:rFonts w:ascii="Arial" w:hAnsi="Arial" w:cs="Arial"/>
          <w:sz w:val="24"/>
          <w:szCs w:val="24"/>
        </w:rPr>
        <w:t>P</w:t>
      </w:r>
      <w:r w:rsidRPr="00A05A14">
        <w:rPr>
          <w:rFonts w:ascii="Arial" w:hAnsi="Arial" w:cs="Arial"/>
          <w:sz w:val="24"/>
          <w:szCs w:val="24"/>
        </w:rPr>
        <w:t xml:space="preserve">harmacotherapy options that have </w:t>
      </w:r>
      <w:r>
        <w:rPr>
          <w:rFonts w:ascii="Arial" w:hAnsi="Arial" w:cs="Arial"/>
          <w:sz w:val="24"/>
          <w:szCs w:val="24"/>
        </w:rPr>
        <w:t>been shown to delay weight gain include,</w:t>
      </w:r>
      <w:r w:rsidRPr="00A05A14">
        <w:rPr>
          <w:rFonts w:ascii="Arial" w:hAnsi="Arial" w:cs="Arial"/>
          <w:sz w:val="24"/>
          <w:szCs w:val="24"/>
        </w:rPr>
        <w:t xml:space="preserve"> the 4-mg nicotine gum or lozenge or bupropion SR.</w:t>
      </w:r>
    </w:p>
    <w:p w:rsidR="00A05A14" w:rsidRDefault="00A05A14" w:rsidP="00603B6B">
      <w:pPr>
        <w:numPr>
          <w:ilvl w:val="1"/>
          <w:numId w:val="1"/>
        </w:numPr>
        <w:spacing w:after="0" w:line="360" w:lineRule="auto"/>
        <w:rPr>
          <w:rFonts w:ascii="Arial" w:hAnsi="Arial" w:cs="Arial"/>
          <w:b/>
          <w:sz w:val="24"/>
          <w:szCs w:val="24"/>
        </w:rPr>
      </w:pPr>
      <w:r w:rsidRPr="00A05A14">
        <w:rPr>
          <w:rFonts w:ascii="Arial" w:hAnsi="Arial" w:cs="Arial"/>
          <w:b/>
          <w:sz w:val="24"/>
          <w:szCs w:val="24"/>
        </w:rPr>
        <w:t>Depression:</w:t>
      </w:r>
    </w:p>
    <w:p w:rsidR="00A05A14" w:rsidRDefault="00A05A14" w:rsidP="005938FB">
      <w:pPr>
        <w:numPr>
          <w:ilvl w:val="2"/>
          <w:numId w:val="1"/>
        </w:numPr>
        <w:spacing w:after="0" w:line="360" w:lineRule="auto"/>
        <w:rPr>
          <w:rFonts w:ascii="Arial" w:hAnsi="Arial" w:cs="Arial"/>
          <w:sz w:val="24"/>
          <w:szCs w:val="24"/>
        </w:rPr>
      </w:pPr>
      <w:r w:rsidRPr="00A05A14">
        <w:rPr>
          <w:rFonts w:ascii="Arial" w:hAnsi="Arial" w:cs="Arial"/>
          <w:sz w:val="24"/>
          <w:szCs w:val="24"/>
        </w:rPr>
        <w:t>Bupropion SR may be particularly beneficial for use in patients with coexisting depression or in individuals with a history of depressive symptoms during a previous quit attempt.</w:t>
      </w:r>
    </w:p>
    <w:p w:rsidR="00FF6611" w:rsidRPr="00A05A14" w:rsidRDefault="00FF6611" w:rsidP="00603B6B">
      <w:pPr>
        <w:spacing w:after="0" w:line="360" w:lineRule="auto"/>
        <w:ind w:left="1440"/>
        <w:rPr>
          <w:rFonts w:ascii="Arial" w:hAnsi="Arial" w:cs="Arial"/>
          <w:sz w:val="24"/>
          <w:szCs w:val="24"/>
        </w:rPr>
      </w:pPr>
    </w:p>
    <w:p w:rsidR="00EE7821" w:rsidRPr="00C2773F" w:rsidRDefault="00814566" w:rsidP="00603B6B">
      <w:pPr>
        <w:numPr>
          <w:ilvl w:val="0"/>
          <w:numId w:val="1"/>
        </w:numPr>
        <w:spacing w:after="0" w:line="360" w:lineRule="auto"/>
        <w:rPr>
          <w:rFonts w:ascii="Arial" w:hAnsi="Arial" w:cs="Arial"/>
          <w:sz w:val="24"/>
          <w:szCs w:val="24"/>
          <w:highlight w:val="yellow"/>
        </w:rPr>
      </w:pPr>
      <w:r w:rsidRPr="00C2773F">
        <w:rPr>
          <w:rFonts w:ascii="Arial" w:hAnsi="Arial" w:cs="Arial"/>
          <w:sz w:val="24"/>
          <w:szCs w:val="24"/>
          <w:highlight w:val="yellow"/>
        </w:rPr>
        <w:t xml:space="preserve">For varenicline, review the most recent FDA warning regarding cardiovascular events. </w:t>
      </w:r>
    </w:p>
    <w:p w:rsidR="00814566" w:rsidRPr="009D4746" w:rsidRDefault="00EE7821" w:rsidP="00603B6B">
      <w:pPr>
        <w:numPr>
          <w:ilvl w:val="1"/>
          <w:numId w:val="1"/>
        </w:numPr>
        <w:spacing w:after="0" w:line="360" w:lineRule="auto"/>
        <w:rPr>
          <w:rFonts w:ascii="Arial" w:hAnsi="Arial" w:cs="Arial"/>
          <w:sz w:val="24"/>
          <w:szCs w:val="24"/>
        </w:rPr>
      </w:pPr>
      <w:r w:rsidRPr="009D4746">
        <w:rPr>
          <w:rFonts w:ascii="Arial" w:hAnsi="Arial" w:cs="Arial"/>
          <w:sz w:val="24"/>
          <w:szCs w:val="24"/>
        </w:rPr>
        <w:t xml:space="preserve">The U.S. Food and Drug Administration (FDA) is notifying the public that the smoking cessation aid  </w:t>
      </w:r>
      <w:r w:rsidRPr="00AA7C72">
        <w:rPr>
          <w:rFonts w:ascii="Arial" w:hAnsi="Arial" w:cs="Arial"/>
          <w:sz w:val="24"/>
          <w:szCs w:val="24"/>
          <w:highlight w:val="yellow"/>
        </w:rPr>
        <w:t>Chantix (varenicline) may be associated with a small, increased risk of certain  cardiovascular adverse events in patients who have cardiovascular disease.</w:t>
      </w:r>
    </w:p>
    <w:p w:rsidR="00646A6D" w:rsidRPr="009D4746" w:rsidRDefault="00646A6D" w:rsidP="00603B6B">
      <w:pPr>
        <w:numPr>
          <w:ilvl w:val="1"/>
          <w:numId w:val="1"/>
        </w:numPr>
        <w:spacing w:after="0" w:line="360" w:lineRule="auto"/>
        <w:rPr>
          <w:rFonts w:ascii="Arial" w:hAnsi="Arial" w:cs="Arial"/>
          <w:sz w:val="24"/>
          <w:szCs w:val="24"/>
        </w:rPr>
      </w:pPr>
      <w:r w:rsidRPr="009D4746">
        <w:rPr>
          <w:rFonts w:ascii="Arial" w:hAnsi="Arial" w:cs="Arial"/>
          <w:sz w:val="24"/>
          <w:szCs w:val="24"/>
        </w:rPr>
        <w:t>These included: angina pectoris, nonfatal myocardial infarction, need for coronary revascularization, and new diagnosis of peripheral vascular disease</w:t>
      </w:r>
    </w:p>
    <w:p w:rsidR="00646A6D" w:rsidRPr="009D4746" w:rsidRDefault="00646A6D" w:rsidP="00603B6B">
      <w:pPr>
        <w:numPr>
          <w:ilvl w:val="1"/>
          <w:numId w:val="1"/>
        </w:numPr>
        <w:spacing w:after="0" w:line="360" w:lineRule="auto"/>
        <w:rPr>
          <w:rFonts w:ascii="Arial" w:hAnsi="Arial" w:cs="Arial"/>
          <w:sz w:val="24"/>
          <w:szCs w:val="24"/>
        </w:rPr>
      </w:pPr>
      <w:r w:rsidRPr="009D4746">
        <w:rPr>
          <w:rFonts w:ascii="Arial" w:hAnsi="Arial" w:cs="Arial"/>
          <w:sz w:val="24"/>
          <w:szCs w:val="24"/>
        </w:rPr>
        <w:t>Smoking is a major risk factor for</w:t>
      </w:r>
      <w:r w:rsidR="005938FB">
        <w:rPr>
          <w:rFonts w:ascii="Arial" w:hAnsi="Arial" w:cs="Arial"/>
          <w:sz w:val="24"/>
          <w:szCs w:val="24"/>
        </w:rPr>
        <w:t xml:space="preserve"> cardiovascular disease, and</w:t>
      </w:r>
      <w:r w:rsidRPr="009D4746">
        <w:rPr>
          <w:rFonts w:ascii="Arial" w:hAnsi="Arial" w:cs="Arial"/>
          <w:sz w:val="24"/>
          <w:szCs w:val="24"/>
        </w:rPr>
        <w:t xml:space="preserve"> Chantix can help you quit smoking</w:t>
      </w:r>
      <w:r w:rsidR="00F77E69" w:rsidRPr="009D4746">
        <w:rPr>
          <w:rFonts w:ascii="Arial" w:hAnsi="Arial" w:cs="Arial"/>
          <w:sz w:val="24"/>
          <w:szCs w:val="24"/>
        </w:rPr>
        <w:t>.</w:t>
      </w:r>
    </w:p>
    <w:p w:rsidR="00F77E69" w:rsidRPr="009D4746" w:rsidRDefault="00F77E69" w:rsidP="00603B6B">
      <w:pPr>
        <w:numPr>
          <w:ilvl w:val="1"/>
          <w:numId w:val="1"/>
        </w:numPr>
        <w:spacing w:after="0" w:line="360" w:lineRule="auto"/>
        <w:rPr>
          <w:rFonts w:ascii="Arial" w:hAnsi="Arial" w:cs="Arial"/>
          <w:sz w:val="24"/>
          <w:szCs w:val="24"/>
        </w:rPr>
      </w:pPr>
      <w:r w:rsidRPr="009D4746">
        <w:rPr>
          <w:rFonts w:ascii="Arial" w:hAnsi="Arial" w:cs="Arial"/>
          <w:sz w:val="24"/>
          <w:szCs w:val="24"/>
        </w:rPr>
        <w:t>The Chantix study wanted to include information about the efficacy and safety of the drug in two patient populations who may benefit greatly from giving up smoking—those with cardiovascular disease and those with chronic obstructive pulmonary disease (COPD).</w:t>
      </w:r>
    </w:p>
    <w:p w:rsidR="00F77E69" w:rsidRPr="009D4746" w:rsidRDefault="00F77E69" w:rsidP="00603B6B">
      <w:pPr>
        <w:numPr>
          <w:ilvl w:val="1"/>
          <w:numId w:val="1"/>
        </w:numPr>
        <w:spacing w:after="0" w:line="360" w:lineRule="auto"/>
        <w:rPr>
          <w:rFonts w:ascii="Arial" w:hAnsi="Arial" w:cs="Arial"/>
          <w:sz w:val="24"/>
          <w:szCs w:val="24"/>
        </w:rPr>
      </w:pPr>
      <w:r w:rsidRPr="005938FB">
        <w:rPr>
          <w:rFonts w:ascii="Arial" w:hAnsi="Arial" w:cs="Arial"/>
          <w:b/>
          <w:sz w:val="24"/>
          <w:szCs w:val="24"/>
        </w:rPr>
        <w:lastRenderedPageBreak/>
        <w:t>The updated label</w:t>
      </w:r>
      <w:r w:rsidRPr="009D4746">
        <w:rPr>
          <w:rFonts w:ascii="Arial" w:hAnsi="Arial" w:cs="Arial"/>
          <w:sz w:val="24"/>
          <w:szCs w:val="24"/>
        </w:rPr>
        <w:t xml:space="preserve"> states that patients should start taking Chantix seven days before their qui</w:t>
      </w:r>
      <w:r w:rsidR="009A4919">
        <w:rPr>
          <w:rFonts w:ascii="Arial" w:hAnsi="Arial" w:cs="Arial"/>
          <w:sz w:val="24"/>
          <w:szCs w:val="24"/>
        </w:rPr>
        <w:t xml:space="preserve">t date or alternatively, begin </w:t>
      </w:r>
      <w:r w:rsidRPr="009D4746">
        <w:rPr>
          <w:rFonts w:ascii="Arial" w:hAnsi="Arial" w:cs="Arial"/>
          <w:sz w:val="24"/>
          <w:szCs w:val="24"/>
        </w:rPr>
        <w:t>Chantix dosing and then quit smoking between Days 8 and 35 of  treatment.- There were no new safety concerns</w:t>
      </w:r>
      <w:r w:rsidR="000D0737">
        <w:rPr>
          <w:rFonts w:ascii="Arial" w:hAnsi="Arial" w:cs="Arial"/>
          <w:sz w:val="24"/>
          <w:szCs w:val="24"/>
        </w:rPr>
        <w:t>.</w:t>
      </w:r>
    </w:p>
    <w:p w:rsidR="00F77E69" w:rsidRPr="00F77E69" w:rsidRDefault="00F77E69" w:rsidP="00F77E69">
      <w:pPr>
        <w:spacing w:after="0" w:line="240" w:lineRule="auto"/>
        <w:ind w:left="1440"/>
        <w:rPr>
          <w:rFonts w:ascii="Arial" w:hAnsi="Arial" w:cs="Arial"/>
        </w:rPr>
      </w:pPr>
    </w:p>
    <w:p w:rsidR="00B70763" w:rsidRDefault="00B70763"/>
    <w:sectPr w:rsidR="00B70763" w:rsidSect="00C50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21C3"/>
    <w:multiLevelType w:val="hybridMultilevel"/>
    <w:tmpl w:val="FB101BAC"/>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796598"/>
    <w:multiLevelType w:val="hybridMultilevel"/>
    <w:tmpl w:val="A9B88678"/>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2">
    <w:nsid w:val="585C0FD1"/>
    <w:multiLevelType w:val="multilevel"/>
    <w:tmpl w:val="D8D278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14566"/>
    <w:rsid w:val="000D0737"/>
    <w:rsid w:val="001E2998"/>
    <w:rsid w:val="00272F14"/>
    <w:rsid w:val="002746F3"/>
    <w:rsid w:val="003E66B9"/>
    <w:rsid w:val="003F475C"/>
    <w:rsid w:val="00490243"/>
    <w:rsid w:val="005938FB"/>
    <w:rsid w:val="00603B6B"/>
    <w:rsid w:val="00646A6D"/>
    <w:rsid w:val="00670ECE"/>
    <w:rsid w:val="006943CD"/>
    <w:rsid w:val="006A386C"/>
    <w:rsid w:val="00814566"/>
    <w:rsid w:val="00891B4F"/>
    <w:rsid w:val="00954749"/>
    <w:rsid w:val="009A4919"/>
    <w:rsid w:val="009D4746"/>
    <w:rsid w:val="00A05A14"/>
    <w:rsid w:val="00A25696"/>
    <w:rsid w:val="00AA7C72"/>
    <w:rsid w:val="00AF3B6B"/>
    <w:rsid w:val="00B6241F"/>
    <w:rsid w:val="00B70763"/>
    <w:rsid w:val="00C16A31"/>
    <w:rsid w:val="00C2773F"/>
    <w:rsid w:val="00C50F34"/>
    <w:rsid w:val="00E6705F"/>
    <w:rsid w:val="00EE7821"/>
    <w:rsid w:val="00F2252B"/>
    <w:rsid w:val="00F77E69"/>
    <w:rsid w:val="00FF6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63"/>
    <w:pPr>
      <w:ind w:left="720"/>
      <w:contextualSpacing/>
    </w:pPr>
  </w:style>
  <w:style w:type="character" w:customStyle="1" w:styleId="emphi">
    <w:name w:val="emph_i"/>
    <w:basedOn w:val="DefaultParagraphFont"/>
    <w:rsid w:val="009D4746"/>
  </w:style>
  <w:style w:type="character" w:customStyle="1" w:styleId="lk">
    <w:name w:val="lk"/>
    <w:basedOn w:val="DefaultParagraphFont"/>
    <w:rsid w:val="009D4746"/>
  </w:style>
</w:styles>
</file>

<file path=word/webSettings.xml><?xml version="1.0" encoding="utf-8"?>
<w:webSettings xmlns:r="http://schemas.openxmlformats.org/officeDocument/2006/relationships" xmlns:w="http://schemas.openxmlformats.org/wordprocessingml/2006/main">
  <w:divs>
    <w:div w:id="160436309">
      <w:bodyDiv w:val="1"/>
      <w:marLeft w:val="0"/>
      <w:marRight w:val="0"/>
      <w:marTop w:val="0"/>
      <w:marBottom w:val="0"/>
      <w:divBdr>
        <w:top w:val="none" w:sz="0" w:space="0" w:color="auto"/>
        <w:left w:val="none" w:sz="0" w:space="0" w:color="auto"/>
        <w:bottom w:val="none" w:sz="0" w:space="0" w:color="auto"/>
        <w:right w:val="none" w:sz="0" w:space="0" w:color="auto"/>
      </w:divBdr>
      <w:divsChild>
        <w:div w:id="367342719">
          <w:marLeft w:val="0"/>
          <w:marRight w:val="0"/>
          <w:marTop w:val="0"/>
          <w:marBottom w:val="0"/>
          <w:divBdr>
            <w:top w:val="none" w:sz="0" w:space="0" w:color="auto"/>
            <w:left w:val="none" w:sz="0" w:space="0" w:color="auto"/>
            <w:bottom w:val="none" w:sz="0" w:space="0" w:color="auto"/>
            <w:right w:val="none" w:sz="0" w:space="0" w:color="auto"/>
          </w:divBdr>
          <w:divsChild>
            <w:div w:id="232472811">
              <w:marLeft w:val="0"/>
              <w:marRight w:val="0"/>
              <w:marTop w:val="0"/>
              <w:marBottom w:val="0"/>
              <w:divBdr>
                <w:top w:val="none" w:sz="0" w:space="0" w:color="auto"/>
                <w:left w:val="none" w:sz="0" w:space="0" w:color="auto"/>
                <w:bottom w:val="none" w:sz="0" w:space="0" w:color="auto"/>
                <w:right w:val="none" w:sz="0" w:space="0" w:color="auto"/>
              </w:divBdr>
              <w:divsChild>
                <w:div w:id="1062824514">
                  <w:marLeft w:val="0"/>
                  <w:marRight w:val="0"/>
                  <w:marTop w:val="0"/>
                  <w:marBottom w:val="0"/>
                  <w:divBdr>
                    <w:top w:val="none" w:sz="0" w:space="0" w:color="auto"/>
                    <w:left w:val="none" w:sz="0" w:space="0" w:color="auto"/>
                    <w:bottom w:val="none" w:sz="0" w:space="0" w:color="auto"/>
                    <w:right w:val="none" w:sz="0" w:space="0" w:color="auto"/>
                  </w:divBdr>
                  <w:divsChild>
                    <w:div w:id="1476944728">
                      <w:marLeft w:val="0"/>
                      <w:marRight w:val="0"/>
                      <w:marTop w:val="0"/>
                      <w:marBottom w:val="0"/>
                      <w:divBdr>
                        <w:top w:val="none" w:sz="0" w:space="0" w:color="auto"/>
                        <w:left w:val="none" w:sz="0" w:space="0" w:color="auto"/>
                        <w:bottom w:val="none" w:sz="0" w:space="0" w:color="auto"/>
                        <w:right w:val="none" w:sz="0" w:space="0" w:color="auto"/>
                      </w:divBdr>
                      <w:divsChild>
                        <w:div w:id="283931331">
                          <w:marLeft w:val="0"/>
                          <w:marRight w:val="0"/>
                          <w:marTop w:val="0"/>
                          <w:marBottom w:val="0"/>
                          <w:divBdr>
                            <w:top w:val="none" w:sz="0" w:space="0" w:color="auto"/>
                            <w:left w:val="none" w:sz="0" w:space="0" w:color="auto"/>
                            <w:bottom w:val="none" w:sz="0" w:space="0" w:color="auto"/>
                            <w:right w:val="none" w:sz="0" w:space="0" w:color="auto"/>
                          </w:divBdr>
                          <w:divsChild>
                            <w:div w:id="874464128">
                              <w:marLeft w:val="0"/>
                              <w:marRight w:val="0"/>
                              <w:marTop w:val="0"/>
                              <w:marBottom w:val="0"/>
                              <w:divBdr>
                                <w:top w:val="none" w:sz="0" w:space="0" w:color="auto"/>
                                <w:left w:val="none" w:sz="0" w:space="0" w:color="auto"/>
                                <w:bottom w:val="none" w:sz="0" w:space="0" w:color="auto"/>
                                <w:right w:val="none" w:sz="0" w:space="0" w:color="auto"/>
                              </w:divBdr>
                              <w:divsChild>
                                <w:div w:id="19527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90083">
      <w:bodyDiv w:val="1"/>
      <w:marLeft w:val="0"/>
      <w:marRight w:val="0"/>
      <w:marTop w:val="0"/>
      <w:marBottom w:val="0"/>
      <w:divBdr>
        <w:top w:val="none" w:sz="0" w:space="0" w:color="auto"/>
        <w:left w:val="none" w:sz="0" w:space="0" w:color="auto"/>
        <w:bottom w:val="none" w:sz="0" w:space="0" w:color="auto"/>
        <w:right w:val="none" w:sz="0" w:space="0" w:color="auto"/>
      </w:divBdr>
    </w:div>
    <w:div w:id="496264450">
      <w:bodyDiv w:val="1"/>
      <w:marLeft w:val="0"/>
      <w:marRight w:val="0"/>
      <w:marTop w:val="0"/>
      <w:marBottom w:val="0"/>
      <w:divBdr>
        <w:top w:val="none" w:sz="0" w:space="0" w:color="auto"/>
        <w:left w:val="none" w:sz="0" w:space="0" w:color="auto"/>
        <w:bottom w:val="none" w:sz="0" w:space="0" w:color="auto"/>
        <w:right w:val="none" w:sz="0" w:space="0" w:color="auto"/>
      </w:divBdr>
      <w:divsChild>
        <w:div w:id="1998411119">
          <w:marLeft w:val="0"/>
          <w:marRight w:val="0"/>
          <w:marTop w:val="0"/>
          <w:marBottom w:val="0"/>
          <w:divBdr>
            <w:top w:val="none" w:sz="0" w:space="0" w:color="auto"/>
            <w:left w:val="none" w:sz="0" w:space="0" w:color="auto"/>
            <w:bottom w:val="none" w:sz="0" w:space="0" w:color="auto"/>
            <w:right w:val="none" w:sz="0" w:space="0" w:color="auto"/>
          </w:divBdr>
          <w:divsChild>
            <w:div w:id="420488234">
              <w:marLeft w:val="0"/>
              <w:marRight w:val="0"/>
              <w:marTop w:val="0"/>
              <w:marBottom w:val="0"/>
              <w:divBdr>
                <w:top w:val="none" w:sz="0" w:space="0" w:color="auto"/>
                <w:left w:val="none" w:sz="0" w:space="0" w:color="auto"/>
                <w:bottom w:val="none" w:sz="0" w:space="0" w:color="auto"/>
                <w:right w:val="none" w:sz="0" w:space="0" w:color="auto"/>
              </w:divBdr>
              <w:divsChild>
                <w:div w:id="990138221">
                  <w:marLeft w:val="0"/>
                  <w:marRight w:val="0"/>
                  <w:marTop w:val="0"/>
                  <w:marBottom w:val="0"/>
                  <w:divBdr>
                    <w:top w:val="none" w:sz="0" w:space="0" w:color="auto"/>
                    <w:left w:val="none" w:sz="0" w:space="0" w:color="auto"/>
                    <w:bottom w:val="none" w:sz="0" w:space="0" w:color="auto"/>
                    <w:right w:val="none" w:sz="0" w:space="0" w:color="auto"/>
                  </w:divBdr>
                  <w:divsChild>
                    <w:div w:id="1062292567">
                      <w:marLeft w:val="0"/>
                      <w:marRight w:val="0"/>
                      <w:marTop w:val="0"/>
                      <w:marBottom w:val="0"/>
                      <w:divBdr>
                        <w:top w:val="none" w:sz="0" w:space="0" w:color="auto"/>
                        <w:left w:val="none" w:sz="0" w:space="0" w:color="auto"/>
                        <w:bottom w:val="none" w:sz="0" w:space="0" w:color="auto"/>
                        <w:right w:val="none" w:sz="0" w:space="0" w:color="auto"/>
                      </w:divBdr>
                      <w:divsChild>
                        <w:div w:id="2076780758">
                          <w:marLeft w:val="0"/>
                          <w:marRight w:val="0"/>
                          <w:marTop w:val="0"/>
                          <w:marBottom w:val="0"/>
                          <w:divBdr>
                            <w:top w:val="none" w:sz="0" w:space="0" w:color="auto"/>
                            <w:left w:val="none" w:sz="0" w:space="0" w:color="auto"/>
                            <w:bottom w:val="none" w:sz="0" w:space="0" w:color="auto"/>
                            <w:right w:val="none" w:sz="0" w:space="0" w:color="auto"/>
                          </w:divBdr>
                          <w:divsChild>
                            <w:div w:id="7724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43526">
      <w:bodyDiv w:val="1"/>
      <w:marLeft w:val="0"/>
      <w:marRight w:val="0"/>
      <w:marTop w:val="0"/>
      <w:marBottom w:val="0"/>
      <w:divBdr>
        <w:top w:val="none" w:sz="0" w:space="0" w:color="auto"/>
        <w:left w:val="none" w:sz="0" w:space="0" w:color="auto"/>
        <w:bottom w:val="none" w:sz="0" w:space="0" w:color="auto"/>
        <w:right w:val="none" w:sz="0" w:space="0" w:color="auto"/>
      </w:divBdr>
      <w:divsChild>
        <w:div w:id="1587223230">
          <w:marLeft w:val="0"/>
          <w:marRight w:val="0"/>
          <w:marTop w:val="0"/>
          <w:marBottom w:val="0"/>
          <w:divBdr>
            <w:top w:val="none" w:sz="0" w:space="0" w:color="auto"/>
            <w:left w:val="none" w:sz="0" w:space="0" w:color="auto"/>
            <w:bottom w:val="none" w:sz="0" w:space="0" w:color="auto"/>
            <w:right w:val="none" w:sz="0" w:space="0" w:color="auto"/>
          </w:divBdr>
          <w:divsChild>
            <w:div w:id="1279726092">
              <w:marLeft w:val="0"/>
              <w:marRight w:val="0"/>
              <w:marTop w:val="0"/>
              <w:marBottom w:val="0"/>
              <w:divBdr>
                <w:top w:val="none" w:sz="0" w:space="0" w:color="auto"/>
                <w:left w:val="none" w:sz="0" w:space="0" w:color="auto"/>
                <w:bottom w:val="none" w:sz="0" w:space="0" w:color="auto"/>
                <w:right w:val="none" w:sz="0" w:space="0" w:color="auto"/>
              </w:divBdr>
              <w:divsChild>
                <w:div w:id="851189274">
                  <w:marLeft w:val="0"/>
                  <w:marRight w:val="0"/>
                  <w:marTop w:val="0"/>
                  <w:marBottom w:val="0"/>
                  <w:divBdr>
                    <w:top w:val="none" w:sz="0" w:space="0" w:color="auto"/>
                    <w:left w:val="none" w:sz="0" w:space="0" w:color="auto"/>
                    <w:bottom w:val="none" w:sz="0" w:space="0" w:color="auto"/>
                    <w:right w:val="none" w:sz="0" w:space="0" w:color="auto"/>
                  </w:divBdr>
                  <w:divsChild>
                    <w:div w:id="268002883">
                      <w:marLeft w:val="0"/>
                      <w:marRight w:val="0"/>
                      <w:marTop w:val="0"/>
                      <w:marBottom w:val="0"/>
                      <w:divBdr>
                        <w:top w:val="none" w:sz="0" w:space="0" w:color="auto"/>
                        <w:left w:val="none" w:sz="0" w:space="0" w:color="auto"/>
                        <w:bottom w:val="none" w:sz="0" w:space="0" w:color="auto"/>
                        <w:right w:val="none" w:sz="0" w:space="0" w:color="auto"/>
                      </w:divBdr>
                      <w:divsChild>
                        <w:div w:id="89932948">
                          <w:marLeft w:val="0"/>
                          <w:marRight w:val="0"/>
                          <w:marTop w:val="0"/>
                          <w:marBottom w:val="0"/>
                          <w:divBdr>
                            <w:top w:val="none" w:sz="0" w:space="0" w:color="auto"/>
                            <w:left w:val="none" w:sz="0" w:space="0" w:color="auto"/>
                            <w:bottom w:val="none" w:sz="0" w:space="0" w:color="auto"/>
                            <w:right w:val="none" w:sz="0" w:space="0" w:color="auto"/>
                          </w:divBdr>
                          <w:divsChild>
                            <w:div w:id="211813372">
                              <w:marLeft w:val="0"/>
                              <w:marRight w:val="0"/>
                              <w:marTop w:val="0"/>
                              <w:marBottom w:val="0"/>
                              <w:divBdr>
                                <w:top w:val="none" w:sz="0" w:space="0" w:color="auto"/>
                                <w:left w:val="none" w:sz="0" w:space="0" w:color="auto"/>
                                <w:bottom w:val="none" w:sz="0" w:space="0" w:color="auto"/>
                                <w:right w:val="none" w:sz="0" w:space="0" w:color="auto"/>
                              </w:divBdr>
                            </w:div>
                            <w:div w:id="1627198674">
                              <w:marLeft w:val="0"/>
                              <w:marRight w:val="0"/>
                              <w:marTop w:val="0"/>
                              <w:marBottom w:val="0"/>
                              <w:divBdr>
                                <w:top w:val="none" w:sz="0" w:space="0" w:color="auto"/>
                                <w:left w:val="none" w:sz="0" w:space="0" w:color="auto"/>
                                <w:bottom w:val="none" w:sz="0" w:space="0" w:color="auto"/>
                                <w:right w:val="none" w:sz="0" w:space="0" w:color="auto"/>
                              </w:divBdr>
                            </w:div>
                            <w:div w:id="1021858544">
                              <w:marLeft w:val="0"/>
                              <w:marRight w:val="0"/>
                              <w:marTop w:val="0"/>
                              <w:marBottom w:val="0"/>
                              <w:divBdr>
                                <w:top w:val="none" w:sz="0" w:space="0" w:color="auto"/>
                                <w:left w:val="none" w:sz="0" w:space="0" w:color="auto"/>
                                <w:bottom w:val="none" w:sz="0" w:space="0" w:color="auto"/>
                                <w:right w:val="none" w:sz="0" w:space="0" w:color="auto"/>
                              </w:divBdr>
                            </w:div>
                            <w:div w:id="1477525059">
                              <w:marLeft w:val="0"/>
                              <w:marRight w:val="0"/>
                              <w:marTop w:val="0"/>
                              <w:marBottom w:val="0"/>
                              <w:divBdr>
                                <w:top w:val="none" w:sz="0" w:space="0" w:color="auto"/>
                                <w:left w:val="none" w:sz="0" w:space="0" w:color="auto"/>
                                <w:bottom w:val="none" w:sz="0" w:space="0" w:color="auto"/>
                                <w:right w:val="none" w:sz="0" w:space="0" w:color="auto"/>
                              </w:divBdr>
                            </w:div>
                            <w:div w:id="457381912">
                              <w:marLeft w:val="0"/>
                              <w:marRight w:val="0"/>
                              <w:marTop w:val="0"/>
                              <w:marBottom w:val="0"/>
                              <w:divBdr>
                                <w:top w:val="none" w:sz="0" w:space="0" w:color="auto"/>
                                <w:left w:val="none" w:sz="0" w:space="0" w:color="auto"/>
                                <w:bottom w:val="none" w:sz="0" w:space="0" w:color="auto"/>
                                <w:right w:val="none" w:sz="0" w:space="0" w:color="auto"/>
                              </w:divBdr>
                            </w:div>
                            <w:div w:id="14162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5533">
      <w:bodyDiv w:val="1"/>
      <w:marLeft w:val="0"/>
      <w:marRight w:val="0"/>
      <w:marTop w:val="0"/>
      <w:marBottom w:val="0"/>
      <w:divBdr>
        <w:top w:val="none" w:sz="0" w:space="0" w:color="auto"/>
        <w:left w:val="none" w:sz="0" w:space="0" w:color="auto"/>
        <w:bottom w:val="none" w:sz="0" w:space="0" w:color="auto"/>
        <w:right w:val="none" w:sz="0" w:space="0" w:color="auto"/>
      </w:divBdr>
      <w:divsChild>
        <w:div w:id="465199297">
          <w:marLeft w:val="0"/>
          <w:marRight w:val="0"/>
          <w:marTop w:val="0"/>
          <w:marBottom w:val="0"/>
          <w:divBdr>
            <w:top w:val="none" w:sz="0" w:space="0" w:color="auto"/>
            <w:left w:val="none" w:sz="0" w:space="0" w:color="auto"/>
            <w:bottom w:val="none" w:sz="0" w:space="0" w:color="auto"/>
            <w:right w:val="none" w:sz="0" w:space="0" w:color="auto"/>
          </w:divBdr>
          <w:divsChild>
            <w:div w:id="2101830013">
              <w:marLeft w:val="0"/>
              <w:marRight w:val="0"/>
              <w:marTop w:val="0"/>
              <w:marBottom w:val="0"/>
              <w:divBdr>
                <w:top w:val="none" w:sz="0" w:space="0" w:color="auto"/>
                <w:left w:val="none" w:sz="0" w:space="0" w:color="auto"/>
                <w:bottom w:val="none" w:sz="0" w:space="0" w:color="auto"/>
                <w:right w:val="none" w:sz="0" w:space="0" w:color="auto"/>
              </w:divBdr>
              <w:divsChild>
                <w:div w:id="875040806">
                  <w:marLeft w:val="0"/>
                  <w:marRight w:val="0"/>
                  <w:marTop w:val="0"/>
                  <w:marBottom w:val="0"/>
                  <w:divBdr>
                    <w:top w:val="none" w:sz="0" w:space="0" w:color="auto"/>
                    <w:left w:val="none" w:sz="0" w:space="0" w:color="auto"/>
                    <w:bottom w:val="none" w:sz="0" w:space="0" w:color="auto"/>
                    <w:right w:val="none" w:sz="0" w:space="0" w:color="auto"/>
                  </w:divBdr>
                  <w:divsChild>
                    <w:div w:id="1265579743">
                      <w:marLeft w:val="0"/>
                      <w:marRight w:val="0"/>
                      <w:marTop w:val="0"/>
                      <w:marBottom w:val="0"/>
                      <w:divBdr>
                        <w:top w:val="none" w:sz="0" w:space="0" w:color="auto"/>
                        <w:left w:val="none" w:sz="0" w:space="0" w:color="auto"/>
                        <w:bottom w:val="none" w:sz="0" w:space="0" w:color="auto"/>
                        <w:right w:val="none" w:sz="0" w:space="0" w:color="auto"/>
                      </w:divBdr>
                      <w:divsChild>
                        <w:div w:id="525141057">
                          <w:marLeft w:val="0"/>
                          <w:marRight w:val="0"/>
                          <w:marTop w:val="0"/>
                          <w:marBottom w:val="0"/>
                          <w:divBdr>
                            <w:top w:val="none" w:sz="0" w:space="0" w:color="auto"/>
                            <w:left w:val="none" w:sz="0" w:space="0" w:color="auto"/>
                            <w:bottom w:val="none" w:sz="0" w:space="0" w:color="auto"/>
                            <w:right w:val="none" w:sz="0" w:space="0" w:color="auto"/>
                          </w:divBdr>
                          <w:divsChild>
                            <w:div w:id="374307713">
                              <w:marLeft w:val="0"/>
                              <w:marRight w:val="0"/>
                              <w:marTop w:val="0"/>
                              <w:marBottom w:val="0"/>
                              <w:divBdr>
                                <w:top w:val="none" w:sz="0" w:space="0" w:color="auto"/>
                                <w:left w:val="none" w:sz="0" w:space="0" w:color="auto"/>
                                <w:bottom w:val="none" w:sz="0" w:space="0" w:color="auto"/>
                                <w:right w:val="none" w:sz="0" w:space="0" w:color="auto"/>
                              </w:divBdr>
                            </w:div>
                            <w:div w:id="955329121">
                              <w:marLeft w:val="0"/>
                              <w:marRight w:val="0"/>
                              <w:marTop w:val="0"/>
                              <w:marBottom w:val="0"/>
                              <w:divBdr>
                                <w:top w:val="none" w:sz="0" w:space="0" w:color="auto"/>
                                <w:left w:val="none" w:sz="0" w:space="0" w:color="auto"/>
                                <w:bottom w:val="none" w:sz="0" w:space="0" w:color="auto"/>
                                <w:right w:val="none" w:sz="0" w:space="0" w:color="auto"/>
                              </w:divBdr>
                            </w:div>
                            <w:div w:id="1408069679">
                              <w:marLeft w:val="0"/>
                              <w:marRight w:val="0"/>
                              <w:marTop w:val="0"/>
                              <w:marBottom w:val="0"/>
                              <w:divBdr>
                                <w:top w:val="none" w:sz="0" w:space="0" w:color="auto"/>
                                <w:left w:val="none" w:sz="0" w:space="0" w:color="auto"/>
                                <w:bottom w:val="none" w:sz="0" w:space="0" w:color="auto"/>
                                <w:right w:val="none" w:sz="0" w:space="0" w:color="auto"/>
                              </w:divBdr>
                            </w:div>
                            <w:div w:id="1927954811">
                              <w:marLeft w:val="0"/>
                              <w:marRight w:val="0"/>
                              <w:marTop w:val="0"/>
                              <w:marBottom w:val="0"/>
                              <w:divBdr>
                                <w:top w:val="none" w:sz="0" w:space="0" w:color="auto"/>
                                <w:left w:val="none" w:sz="0" w:space="0" w:color="auto"/>
                                <w:bottom w:val="none" w:sz="0" w:space="0" w:color="auto"/>
                                <w:right w:val="none" w:sz="0" w:space="0" w:color="auto"/>
                              </w:divBdr>
                            </w:div>
                            <w:div w:id="616909117">
                              <w:marLeft w:val="0"/>
                              <w:marRight w:val="0"/>
                              <w:marTop w:val="0"/>
                              <w:marBottom w:val="0"/>
                              <w:divBdr>
                                <w:top w:val="none" w:sz="0" w:space="0" w:color="auto"/>
                                <w:left w:val="none" w:sz="0" w:space="0" w:color="auto"/>
                                <w:bottom w:val="none" w:sz="0" w:space="0" w:color="auto"/>
                                <w:right w:val="none" w:sz="0" w:space="0" w:color="auto"/>
                              </w:divBdr>
                            </w:div>
                            <w:div w:id="13764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Leon Do</cp:lastModifiedBy>
  <cp:revision>19</cp:revision>
  <dcterms:created xsi:type="dcterms:W3CDTF">2011-10-18T01:19:00Z</dcterms:created>
  <dcterms:modified xsi:type="dcterms:W3CDTF">2011-12-08T05:28:00Z</dcterms:modified>
</cp:coreProperties>
</file>