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73"/>
        <w:tblW w:w="14868" w:type="dxa"/>
        <w:tblLayout w:type="fixed"/>
        <w:tblLook w:val="00A0" w:firstRow="1" w:lastRow="0" w:firstColumn="1" w:lastColumn="0" w:noHBand="0" w:noVBand="0"/>
      </w:tblPr>
      <w:tblGrid>
        <w:gridCol w:w="1728"/>
        <w:gridCol w:w="1780"/>
        <w:gridCol w:w="1510"/>
        <w:gridCol w:w="1440"/>
        <w:gridCol w:w="1172"/>
        <w:gridCol w:w="1349"/>
        <w:gridCol w:w="1749"/>
        <w:gridCol w:w="720"/>
        <w:gridCol w:w="1980"/>
        <w:gridCol w:w="1440"/>
      </w:tblGrid>
      <w:tr w:rsidR="008F589F" w:rsidRPr="00522B9D" w:rsidTr="00F23010">
        <w:trPr>
          <w:trHeight w:val="620"/>
        </w:trPr>
        <w:tc>
          <w:tcPr>
            <w:tcW w:w="1728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bookmarkStart w:id="0" w:name="_GoBack"/>
            <w:bookmarkEnd w:id="0"/>
            <w:r w:rsidRPr="00522B9D">
              <w:rPr>
                <w:sz w:val="20"/>
                <w:szCs w:val="20"/>
              </w:rPr>
              <w:t>Drug Name</w:t>
            </w:r>
          </w:p>
        </w:tc>
        <w:tc>
          <w:tcPr>
            <w:tcW w:w="1780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Class</w:t>
            </w:r>
          </w:p>
        </w:tc>
        <w:tc>
          <w:tcPr>
            <w:tcW w:w="1510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Treatment For</w:t>
            </w:r>
          </w:p>
        </w:tc>
        <w:tc>
          <w:tcPr>
            <w:tcW w:w="1440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Symptoms controlled</w:t>
            </w:r>
          </w:p>
        </w:tc>
        <w:tc>
          <w:tcPr>
            <w:tcW w:w="1172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Dosage Adult</w:t>
            </w:r>
          </w:p>
        </w:tc>
        <w:tc>
          <w:tcPr>
            <w:tcW w:w="1349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Dosage Children</w:t>
            </w:r>
          </w:p>
        </w:tc>
        <w:tc>
          <w:tcPr>
            <w:tcW w:w="1749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Adverse Effects</w:t>
            </w:r>
          </w:p>
        </w:tc>
        <w:tc>
          <w:tcPr>
            <w:tcW w:w="720" w:type="dxa"/>
          </w:tcPr>
          <w:p w:rsidR="00B15C5B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Availability</w:t>
            </w:r>
          </w:p>
        </w:tc>
        <w:tc>
          <w:tcPr>
            <w:tcW w:w="1980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Counseling points</w:t>
            </w:r>
          </w:p>
        </w:tc>
        <w:tc>
          <w:tcPr>
            <w:tcW w:w="1440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Pregnancy Category</w:t>
            </w:r>
          </w:p>
        </w:tc>
      </w:tr>
      <w:tr w:rsidR="008F589F" w:rsidRPr="00522B9D" w:rsidTr="00F23010">
        <w:trPr>
          <w:trHeight w:val="514"/>
        </w:trPr>
        <w:tc>
          <w:tcPr>
            <w:tcW w:w="1728" w:type="dxa"/>
          </w:tcPr>
          <w:p w:rsidR="00B15C5B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Chlorpheniramine maleate</w:t>
            </w:r>
          </w:p>
          <w:p w:rsidR="000543E1" w:rsidRPr="00522B9D" w:rsidRDefault="000543E1" w:rsidP="003C2D1A">
            <w:pPr>
              <w:spacing w:line="312" w:lineRule="auto"/>
              <w:rPr>
                <w:sz w:val="20"/>
                <w:szCs w:val="20"/>
              </w:rPr>
            </w:pPr>
          </w:p>
          <w:p w:rsidR="000543E1" w:rsidRPr="00522B9D" w:rsidRDefault="000543E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Chol-Trimeton</w:t>
            </w:r>
          </w:p>
        </w:tc>
        <w:tc>
          <w:tcPr>
            <w:tcW w:w="1780" w:type="dxa"/>
          </w:tcPr>
          <w:p w:rsidR="00B15C5B" w:rsidRPr="00522B9D" w:rsidRDefault="006A2F1E" w:rsidP="003C2D1A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Oral (</w:t>
            </w:r>
            <w:r w:rsidR="00B15C5B" w:rsidRPr="00522B9D">
              <w:rPr>
                <w:b/>
                <w:sz w:val="20"/>
                <w:szCs w:val="20"/>
              </w:rPr>
              <w:t>Systemic</w:t>
            </w:r>
            <w:r w:rsidRPr="00522B9D">
              <w:rPr>
                <w:b/>
                <w:sz w:val="20"/>
                <w:szCs w:val="20"/>
              </w:rPr>
              <w:t>)</w:t>
            </w:r>
            <w:r w:rsidR="00B15C5B" w:rsidRPr="00522B9D">
              <w:rPr>
                <w:b/>
                <w:sz w:val="20"/>
                <w:szCs w:val="20"/>
              </w:rPr>
              <w:t xml:space="preserve"> antihistamines</w:t>
            </w:r>
            <w:r w:rsidR="00947271" w:rsidRPr="00522B9D">
              <w:rPr>
                <w:b/>
                <w:sz w:val="20"/>
                <w:szCs w:val="20"/>
              </w:rPr>
              <w:t>, First generation, non-selective</w:t>
            </w:r>
          </w:p>
        </w:tc>
        <w:tc>
          <w:tcPr>
            <w:tcW w:w="1510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Seasonal (begin before exposure); Perennial (in combo with intranasal steroid)</w:t>
            </w:r>
          </w:p>
        </w:tc>
        <w:tc>
          <w:tcPr>
            <w:tcW w:w="1440" w:type="dxa"/>
          </w:tcPr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Sneezing, rhinorrhea, itching, conjunctivitis</w:t>
            </w:r>
          </w:p>
        </w:tc>
        <w:tc>
          <w:tcPr>
            <w:tcW w:w="1172" w:type="dxa"/>
          </w:tcPr>
          <w:p w:rsidR="00B15C5B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4 mg every 6 h</w:t>
            </w:r>
          </w:p>
          <w:p w:rsidR="00AF1503" w:rsidRPr="00522B9D" w:rsidRDefault="00AF1503" w:rsidP="003C2D1A">
            <w:pPr>
              <w:spacing w:line="312" w:lineRule="auto"/>
              <w:rPr>
                <w:sz w:val="20"/>
                <w:szCs w:val="20"/>
              </w:rPr>
            </w:pPr>
          </w:p>
          <w:p w:rsidR="00AF1503" w:rsidRPr="00522B9D" w:rsidRDefault="00AF1503" w:rsidP="00AF150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Elderly:  Avoid use due to increased risk of confusion, dry mouth, constipation, and other anticholinergic effects</w:t>
            </w:r>
          </w:p>
        </w:tc>
        <w:tc>
          <w:tcPr>
            <w:tcW w:w="1349" w:type="dxa"/>
          </w:tcPr>
          <w:p w:rsidR="00B15C5B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6-12 y: 2 mg every 6 h</w:t>
            </w:r>
          </w:p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2-5 y: 1 mg every 6 h</w:t>
            </w:r>
          </w:p>
        </w:tc>
        <w:tc>
          <w:tcPr>
            <w:tcW w:w="1749" w:type="dxa"/>
          </w:tcPr>
          <w:p w:rsidR="00B15C5B" w:rsidRPr="00522B9D" w:rsidRDefault="00CA20DF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Drowsiness, drying effects, dry mouth, difficulty voiding urine, constipation, CV effects</w:t>
            </w:r>
            <w:r w:rsidR="009B5A7C" w:rsidRPr="00522B9D">
              <w:rPr>
                <w:sz w:val="20"/>
                <w:szCs w:val="20"/>
              </w:rPr>
              <w:t xml:space="preserve"> (tachycardia)</w:t>
            </w:r>
            <w:r w:rsidR="00292AFD" w:rsidRPr="00522B9D">
              <w:rPr>
                <w:sz w:val="20"/>
                <w:szCs w:val="20"/>
              </w:rPr>
              <w:t>, GI effects (N/V, epigastric distress)</w:t>
            </w:r>
            <w:r w:rsidR="00FF418F">
              <w:rPr>
                <w:sz w:val="20"/>
                <w:szCs w:val="20"/>
              </w:rPr>
              <w:t>, loss of a</w:t>
            </w:r>
            <w:r w:rsidR="00FF418F" w:rsidRPr="00522B9D">
              <w:rPr>
                <w:sz w:val="20"/>
                <w:szCs w:val="20"/>
              </w:rPr>
              <w:t>ppetite</w:t>
            </w:r>
          </w:p>
        </w:tc>
        <w:tc>
          <w:tcPr>
            <w:tcW w:w="720" w:type="dxa"/>
          </w:tcPr>
          <w:p w:rsidR="00B15C5B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CA20DF" w:rsidRPr="00522B9D" w:rsidRDefault="00CA20DF" w:rsidP="003C2D1A">
            <w:pPr>
              <w:contextualSpacing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 xml:space="preserve">Caution in </w:t>
            </w:r>
            <w:r w:rsidR="00FF418F" w:rsidRPr="00522B9D">
              <w:rPr>
                <w:sz w:val="20"/>
                <w:szCs w:val="20"/>
              </w:rPr>
              <w:t>pts.</w:t>
            </w:r>
            <w:r w:rsidRPr="00522B9D">
              <w:rPr>
                <w:sz w:val="20"/>
                <w:szCs w:val="20"/>
              </w:rPr>
              <w:t xml:space="preserve"> </w:t>
            </w:r>
            <w:r w:rsidR="00AF1503" w:rsidRPr="00522B9D">
              <w:rPr>
                <w:sz w:val="20"/>
                <w:szCs w:val="20"/>
              </w:rPr>
              <w:t xml:space="preserve">with </w:t>
            </w:r>
            <w:r w:rsidRPr="00522B9D">
              <w:rPr>
                <w:sz w:val="20"/>
                <w:szCs w:val="20"/>
              </w:rPr>
              <w:t>increased intraocular pressure, hyperthyroidism, and CVD,</w:t>
            </w:r>
            <w:r w:rsidR="009B5A7C" w:rsidRPr="00522B9D">
              <w:rPr>
                <w:sz w:val="20"/>
                <w:szCs w:val="20"/>
              </w:rPr>
              <w:t xml:space="preserve"> lower respiratory tract disease.</w:t>
            </w:r>
            <w:r w:rsidRPr="00522B9D">
              <w:rPr>
                <w:sz w:val="20"/>
                <w:szCs w:val="20"/>
              </w:rPr>
              <w:t xml:space="preserve">  Take 1-2 hour before anticipated exposure, </w:t>
            </w:r>
            <w:r w:rsidR="00AF1503" w:rsidRPr="00522B9D">
              <w:rPr>
                <w:sz w:val="20"/>
                <w:szCs w:val="20"/>
              </w:rPr>
              <w:t>i</w:t>
            </w:r>
            <w:r w:rsidRPr="00522B9D">
              <w:rPr>
                <w:sz w:val="20"/>
                <w:szCs w:val="20"/>
              </w:rPr>
              <w:t>f tolerance develops change to agent in different chemical class</w:t>
            </w:r>
            <w:r w:rsidR="00292AFD" w:rsidRPr="00522B9D">
              <w:rPr>
                <w:sz w:val="20"/>
                <w:szCs w:val="20"/>
              </w:rPr>
              <w:t xml:space="preserve">, don’t use other CNS depressants such as alcohol, do not take multiple antihistamines at once, do not </w:t>
            </w:r>
            <w:r w:rsidR="001A33E4" w:rsidRPr="00522B9D">
              <w:rPr>
                <w:sz w:val="20"/>
                <w:szCs w:val="20"/>
              </w:rPr>
              <w:t>double dose if dose is missed, take with meal or full glass of water to prevent GI effects</w:t>
            </w:r>
          </w:p>
          <w:p w:rsidR="00CA20DF" w:rsidRPr="00522B9D" w:rsidRDefault="00CA20DF" w:rsidP="003C2D1A">
            <w:pPr>
              <w:contextualSpacing/>
              <w:rPr>
                <w:sz w:val="20"/>
                <w:szCs w:val="20"/>
              </w:rPr>
            </w:pPr>
          </w:p>
          <w:p w:rsidR="00B15C5B" w:rsidRPr="00522B9D" w:rsidRDefault="00B15C5B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B15C5B" w:rsidRPr="00522B9D" w:rsidRDefault="00BC5EA9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</w:t>
            </w:r>
          </w:p>
        </w:tc>
      </w:tr>
      <w:tr w:rsidR="008F589F" w:rsidRPr="00522B9D" w:rsidTr="00F23010">
        <w:trPr>
          <w:trHeight w:val="514"/>
        </w:trPr>
        <w:tc>
          <w:tcPr>
            <w:tcW w:w="1728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Chlorpheniramine maleate, sustained release</w:t>
            </w:r>
          </w:p>
        </w:tc>
        <w:tc>
          <w:tcPr>
            <w:tcW w:w="178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8-12 mg daily at bedtime or 8-12 mg every 8 h</w:t>
            </w:r>
          </w:p>
        </w:tc>
        <w:tc>
          <w:tcPr>
            <w:tcW w:w="1349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6-12 y: 8 mg at bedtime</w:t>
            </w:r>
          </w:p>
          <w:p w:rsidR="00947271" w:rsidRPr="00522B9D" w:rsidRDefault="00947271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&lt;6 y: Not recommended</w:t>
            </w:r>
          </w:p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947271" w:rsidRPr="00522B9D" w:rsidRDefault="00F52A38" w:rsidP="003C2D1A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947271" w:rsidRPr="00522B9D" w:rsidRDefault="00486BB3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Avoid use in elderly</w:t>
            </w:r>
          </w:p>
        </w:tc>
        <w:tc>
          <w:tcPr>
            <w:tcW w:w="1440" w:type="dxa"/>
          </w:tcPr>
          <w:p w:rsidR="00947271" w:rsidRPr="00522B9D" w:rsidRDefault="00BC5EA9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</w:t>
            </w:r>
          </w:p>
        </w:tc>
      </w:tr>
      <w:tr w:rsidR="008F589F" w:rsidRPr="00522B9D" w:rsidTr="00F23010">
        <w:trPr>
          <w:trHeight w:val="1475"/>
        </w:trPr>
        <w:tc>
          <w:tcPr>
            <w:tcW w:w="1728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lastRenderedPageBreak/>
              <w:t>Clemastine fumarate</w:t>
            </w:r>
          </w:p>
          <w:p w:rsidR="000543E1" w:rsidRPr="00522B9D" w:rsidRDefault="000543E1" w:rsidP="003C2D1A">
            <w:pPr>
              <w:spacing w:line="312" w:lineRule="auto"/>
              <w:rPr>
                <w:sz w:val="20"/>
                <w:szCs w:val="20"/>
              </w:rPr>
            </w:pPr>
          </w:p>
          <w:p w:rsidR="009B7719" w:rsidRPr="00522B9D" w:rsidRDefault="009B7719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Tavist</w:t>
            </w:r>
          </w:p>
        </w:tc>
        <w:tc>
          <w:tcPr>
            <w:tcW w:w="178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1.34 mg every 8 h</w:t>
            </w:r>
          </w:p>
        </w:tc>
        <w:tc>
          <w:tcPr>
            <w:tcW w:w="1349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6–12 y: 0.67 mg every 12 h</w:t>
            </w:r>
          </w:p>
        </w:tc>
        <w:tc>
          <w:tcPr>
            <w:tcW w:w="1749" w:type="dxa"/>
          </w:tcPr>
          <w:p w:rsidR="00947271" w:rsidRPr="00522B9D" w:rsidRDefault="00F52A38" w:rsidP="003C2D1A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947271" w:rsidRPr="00522B9D" w:rsidRDefault="00AC05A6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Elderly:  Avoid use due to increased risk of confusion, dry mouth, constipation, and other anticholinergic effects</w:t>
            </w:r>
          </w:p>
        </w:tc>
        <w:tc>
          <w:tcPr>
            <w:tcW w:w="1440" w:type="dxa"/>
          </w:tcPr>
          <w:p w:rsidR="00947271" w:rsidRPr="00522B9D" w:rsidRDefault="00BC5EA9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B</w:t>
            </w:r>
          </w:p>
        </w:tc>
      </w:tr>
      <w:tr w:rsidR="008F589F" w:rsidRPr="00522B9D" w:rsidTr="00F23010">
        <w:trPr>
          <w:trHeight w:val="514"/>
        </w:trPr>
        <w:tc>
          <w:tcPr>
            <w:tcW w:w="1728" w:type="dxa"/>
          </w:tcPr>
          <w:p w:rsidR="00947271" w:rsidRPr="00522B9D" w:rsidRDefault="00947271" w:rsidP="003C2D1A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Diphenhydramine hydrochloride</w:t>
            </w:r>
          </w:p>
          <w:p w:rsidR="000543E1" w:rsidRPr="00522B9D" w:rsidRDefault="000543E1" w:rsidP="003C2D1A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</w:p>
          <w:p w:rsidR="009B7719" w:rsidRPr="00522B9D" w:rsidRDefault="009B7719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Benadryl</w:t>
            </w:r>
          </w:p>
        </w:tc>
        <w:tc>
          <w:tcPr>
            <w:tcW w:w="178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25–50 mg every 8 h</w:t>
            </w:r>
          </w:p>
        </w:tc>
        <w:tc>
          <w:tcPr>
            <w:tcW w:w="1349" w:type="dxa"/>
          </w:tcPr>
          <w:p w:rsidR="00947271" w:rsidRPr="00522B9D" w:rsidRDefault="00947271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5 mg/kg per day divided every 8</w:t>
            </w:r>
          </w:p>
          <w:p w:rsidR="00947271" w:rsidRPr="00522B9D" w:rsidRDefault="00947271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h (up to 25 mg per dose)</w:t>
            </w:r>
          </w:p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947271" w:rsidRPr="00522B9D" w:rsidRDefault="00F52A38" w:rsidP="003C2D1A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947271" w:rsidRPr="00522B9D" w:rsidRDefault="00486BB3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Caution in elderly</w:t>
            </w:r>
          </w:p>
        </w:tc>
        <w:tc>
          <w:tcPr>
            <w:tcW w:w="1440" w:type="dxa"/>
          </w:tcPr>
          <w:p w:rsidR="00947271" w:rsidRPr="00522B9D" w:rsidRDefault="0057369B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B, crosses placenta, not antihistamine of choice</w:t>
            </w:r>
          </w:p>
        </w:tc>
      </w:tr>
      <w:tr w:rsidR="008F589F" w:rsidRPr="00522B9D" w:rsidTr="00F23010">
        <w:trPr>
          <w:trHeight w:val="514"/>
        </w:trPr>
        <w:tc>
          <w:tcPr>
            <w:tcW w:w="1728" w:type="dxa"/>
          </w:tcPr>
          <w:p w:rsidR="00947271" w:rsidRPr="00522B9D" w:rsidRDefault="00E54231" w:rsidP="003C2D1A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Loratadine</w:t>
            </w:r>
          </w:p>
          <w:p w:rsidR="000543E1" w:rsidRPr="00522B9D" w:rsidRDefault="000543E1" w:rsidP="003C2D1A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</w:p>
          <w:p w:rsidR="009B7719" w:rsidRPr="00522B9D" w:rsidRDefault="009B7719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Claritin, Alavert</w:t>
            </w:r>
          </w:p>
        </w:tc>
        <w:tc>
          <w:tcPr>
            <w:tcW w:w="1780" w:type="dxa"/>
          </w:tcPr>
          <w:p w:rsidR="00947271" w:rsidRPr="00522B9D" w:rsidRDefault="006A2F1E" w:rsidP="003C2D1A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Oral (</w:t>
            </w:r>
            <w:r w:rsidR="00947271" w:rsidRPr="00522B9D">
              <w:rPr>
                <w:b/>
                <w:sz w:val="20"/>
                <w:szCs w:val="20"/>
              </w:rPr>
              <w:t>Systemic</w:t>
            </w:r>
            <w:r w:rsidRPr="00522B9D">
              <w:rPr>
                <w:b/>
                <w:sz w:val="20"/>
                <w:szCs w:val="20"/>
              </w:rPr>
              <w:t>)</w:t>
            </w:r>
            <w:r w:rsidR="00947271" w:rsidRPr="00522B9D">
              <w:rPr>
                <w:b/>
                <w:sz w:val="20"/>
                <w:szCs w:val="20"/>
              </w:rPr>
              <w:t xml:space="preserve"> antihistamines, Second generation, peripherally-selective</w:t>
            </w:r>
          </w:p>
        </w:tc>
        <w:tc>
          <w:tcPr>
            <w:tcW w:w="151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947271" w:rsidRPr="00522B9D" w:rsidRDefault="00E54231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10 mg once daily</w:t>
            </w:r>
          </w:p>
        </w:tc>
        <w:tc>
          <w:tcPr>
            <w:tcW w:w="1349" w:type="dxa"/>
          </w:tcPr>
          <w:p w:rsidR="00E54231" w:rsidRPr="00522B9D" w:rsidRDefault="00E54231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6–12 y: 10 mg once daily</w:t>
            </w:r>
          </w:p>
          <w:p w:rsidR="00E54231" w:rsidRPr="00522B9D" w:rsidRDefault="00E54231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2–5 y: 5 mg once daily</w:t>
            </w:r>
          </w:p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947271" w:rsidRPr="00522B9D" w:rsidRDefault="009B5A7C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Liver and kidney warning</w:t>
            </w:r>
          </w:p>
        </w:tc>
        <w:tc>
          <w:tcPr>
            <w:tcW w:w="720" w:type="dxa"/>
          </w:tcPr>
          <w:p w:rsidR="00947271" w:rsidRPr="00522B9D" w:rsidRDefault="00266183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947271" w:rsidRPr="00522B9D" w:rsidRDefault="00372E39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May be inappropriate in older adults depending on comorbidities (</w:t>
            </w:r>
            <w:r w:rsidR="00FF418F" w:rsidRPr="00522B9D">
              <w:rPr>
                <w:sz w:val="20"/>
                <w:szCs w:val="20"/>
              </w:rPr>
              <w:t>e.g.</w:t>
            </w:r>
            <w:r w:rsidRPr="00522B9D">
              <w:rPr>
                <w:sz w:val="20"/>
                <w:szCs w:val="20"/>
              </w:rPr>
              <w:t>, dementia, delirium) due to its potent anticholinergic effects</w:t>
            </w:r>
          </w:p>
        </w:tc>
        <w:tc>
          <w:tcPr>
            <w:tcW w:w="1440" w:type="dxa"/>
          </w:tcPr>
          <w:p w:rsidR="00947271" w:rsidRPr="00522B9D" w:rsidRDefault="003914B3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 xml:space="preserve">B, </w:t>
            </w:r>
            <w:r w:rsidR="00372E39" w:rsidRPr="00522B9D">
              <w:rPr>
                <w:sz w:val="20"/>
                <w:szCs w:val="20"/>
              </w:rPr>
              <w:t>may be the preferred second generation antihistamine</w:t>
            </w:r>
          </w:p>
        </w:tc>
      </w:tr>
      <w:tr w:rsidR="00E416E2" w:rsidRPr="00522B9D" w:rsidTr="00F23010">
        <w:trPr>
          <w:trHeight w:val="514"/>
        </w:trPr>
        <w:tc>
          <w:tcPr>
            <w:tcW w:w="1728" w:type="dxa"/>
          </w:tcPr>
          <w:p w:rsidR="00266183" w:rsidRPr="00522B9D" w:rsidRDefault="00266183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 xml:space="preserve">Fexofenadine </w:t>
            </w:r>
          </w:p>
          <w:p w:rsidR="000543E1" w:rsidRPr="00522B9D" w:rsidRDefault="000543E1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9B7719" w:rsidRPr="00522B9D" w:rsidRDefault="009B7719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Allegra</w:t>
            </w:r>
          </w:p>
          <w:p w:rsidR="00947271" w:rsidRPr="00522B9D" w:rsidRDefault="00947271" w:rsidP="003C2D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78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266183" w:rsidRPr="00522B9D" w:rsidRDefault="00266183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60 mg twice daily or</w:t>
            </w:r>
          </w:p>
          <w:p w:rsidR="00266183" w:rsidRPr="00522B9D" w:rsidRDefault="00266183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180 mg once daily</w:t>
            </w:r>
          </w:p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266183" w:rsidRPr="00522B9D" w:rsidRDefault="00266183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6–11 y: 30 mg twice daily</w:t>
            </w:r>
          </w:p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947271" w:rsidRPr="00522B9D" w:rsidRDefault="009B5A7C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Kidney warning</w:t>
            </w:r>
            <w:r w:rsidR="00AD60B9" w:rsidRPr="00522B9D">
              <w:rPr>
                <w:sz w:val="20"/>
                <w:szCs w:val="20"/>
              </w:rPr>
              <w:t>, once daily dosing in elderly &amp; renal impairment</w:t>
            </w:r>
          </w:p>
        </w:tc>
        <w:tc>
          <w:tcPr>
            <w:tcW w:w="720" w:type="dxa"/>
          </w:tcPr>
          <w:p w:rsidR="00947271" w:rsidRPr="00522B9D" w:rsidRDefault="00347EE9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947271" w:rsidRPr="00522B9D" w:rsidRDefault="009B5A7C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Do NOT take at same time as Aluminum or Magnesium antacids, Do NOT take with fruit juices</w:t>
            </w:r>
          </w:p>
        </w:tc>
        <w:tc>
          <w:tcPr>
            <w:tcW w:w="1440" w:type="dxa"/>
          </w:tcPr>
          <w:p w:rsidR="00947271" w:rsidRPr="00522B9D" w:rsidRDefault="00344C98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</w:t>
            </w:r>
          </w:p>
        </w:tc>
      </w:tr>
      <w:tr w:rsidR="00E416E2" w:rsidRPr="00522B9D" w:rsidTr="00F23010">
        <w:trPr>
          <w:trHeight w:val="514"/>
        </w:trPr>
        <w:tc>
          <w:tcPr>
            <w:tcW w:w="1728" w:type="dxa"/>
          </w:tcPr>
          <w:p w:rsidR="00F85C02" w:rsidRPr="00522B9D" w:rsidRDefault="00F85C02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Cetirizine</w:t>
            </w:r>
          </w:p>
          <w:p w:rsidR="000543E1" w:rsidRPr="00522B9D" w:rsidRDefault="000543E1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9B7719" w:rsidRPr="00522B9D" w:rsidRDefault="009B7719" w:rsidP="003C2D1A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Zyrtec</w:t>
            </w:r>
          </w:p>
          <w:p w:rsidR="00947271" w:rsidRPr="00522B9D" w:rsidRDefault="00947271" w:rsidP="003C2D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78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47271" w:rsidRPr="00522B9D" w:rsidRDefault="00947271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947271" w:rsidRPr="00522B9D" w:rsidRDefault="00F85C02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5–10 mg once daily</w:t>
            </w:r>
          </w:p>
        </w:tc>
        <w:tc>
          <w:tcPr>
            <w:tcW w:w="1349" w:type="dxa"/>
          </w:tcPr>
          <w:p w:rsidR="00F85C02" w:rsidRPr="00522B9D" w:rsidRDefault="00F85C02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&gt;6 y: 5 mg once daily Infants</w:t>
            </w:r>
          </w:p>
          <w:p w:rsidR="00947271" w:rsidRPr="00522B9D" w:rsidRDefault="00F85C02" w:rsidP="00372E39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6–11 month: 0.25 mg/kg orally demonstrated as safe</w:t>
            </w:r>
          </w:p>
        </w:tc>
        <w:tc>
          <w:tcPr>
            <w:tcW w:w="1749" w:type="dxa"/>
          </w:tcPr>
          <w:p w:rsidR="00947271" w:rsidRPr="00522B9D" w:rsidRDefault="009B5A7C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Drowsiness,  Liver and kidney warning</w:t>
            </w:r>
          </w:p>
        </w:tc>
        <w:tc>
          <w:tcPr>
            <w:tcW w:w="720" w:type="dxa"/>
          </w:tcPr>
          <w:p w:rsidR="00947271" w:rsidRPr="00522B9D" w:rsidRDefault="00F85C02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3914B3" w:rsidRPr="00522B9D" w:rsidRDefault="003914B3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Allergy to Hydroxyzine?</w:t>
            </w:r>
          </w:p>
          <w:p w:rsidR="003914B3" w:rsidRPr="00522B9D" w:rsidRDefault="003914B3" w:rsidP="003C2D1A">
            <w:pPr>
              <w:spacing w:line="312" w:lineRule="auto"/>
              <w:rPr>
                <w:sz w:val="20"/>
                <w:szCs w:val="20"/>
              </w:rPr>
            </w:pPr>
          </w:p>
          <w:p w:rsidR="003914B3" w:rsidRPr="00522B9D" w:rsidRDefault="003914B3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Caution in elderly</w:t>
            </w:r>
          </w:p>
        </w:tc>
        <w:tc>
          <w:tcPr>
            <w:tcW w:w="1440" w:type="dxa"/>
          </w:tcPr>
          <w:p w:rsidR="00947271" w:rsidRPr="00522B9D" w:rsidRDefault="003914B3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B, may be a preferred second generation antihistamine</w:t>
            </w:r>
          </w:p>
        </w:tc>
      </w:tr>
      <w:tr w:rsidR="00CF1B59" w:rsidRPr="00522B9D" w:rsidTr="00F23010">
        <w:trPr>
          <w:trHeight w:val="514"/>
        </w:trPr>
        <w:tc>
          <w:tcPr>
            <w:tcW w:w="1728" w:type="dxa"/>
          </w:tcPr>
          <w:p w:rsidR="006F0E97" w:rsidRPr="00522B9D" w:rsidRDefault="006F0E97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lastRenderedPageBreak/>
              <w:t xml:space="preserve">Levocetirizine </w:t>
            </w:r>
          </w:p>
          <w:p w:rsidR="000543E1" w:rsidRPr="00522B9D" w:rsidRDefault="000543E1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0543E1" w:rsidRPr="00522B9D" w:rsidRDefault="000543E1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Xyzal</w:t>
            </w:r>
          </w:p>
        </w:tc>
        <w:tc>
          <w:tcPr>
            <w:tcW w:w="1780" w:type="dxa"/>
          </w:tcPr>
          <w:p w:rsidR="006F0E97" w:rsidRPr="00522B9D" w:rsidRDefault="006F0E97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6F0E97" w:rsidRPr="00522B9D" w:rsidRDefault="006F0E97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F0E97" w:rsidRPr="00522B9D" w:rsidRDefault="006F0E97" w:rsidP="003C2D1A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6F0E97" w:rsidRPr="00522B9D" w:rsidRDefault="006F0E97" w:rsidP="000F7BCF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 xml:space="preserve">5 mg every evening </w:t>
            </w:r>
          </w:p>
        </w:tc>
        <w:tc>
          <w:tcPr>
            <w:tcW w:w="1349" w:type="dxa"/>
          </w:tcPr>
          <w:p w:rsidR="006F0E97" w:rsidRPr="00522B9D" w:rsidRDefault="006F0E97" w:rsidP="003C2D1A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6–11 y: 2.5 mg every evening</w:t>
            </w:r>
          </w:p>
        </w:tc>
        <w:tc>
          <w:tcPr>
            <w:tcW w:w="1749" w:type="dxa"/>
          </w:tcPr>
          <w:p w:rsidR="006F0E97" w:rsidRPr="00522B9D" w:rsidRDefault="00841B57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Dose for renal impairment</w:t>
            </w:r>
          </w:p>
        </w:tc>
        <w:tc>
          <w:tcPr>
            <w:tcW w:w="720" w:type="dxa"/>
          </w:tcPr>
          <w:p w:rsidR="006F0E97" w:rsidRPr="00522B9D" w:rsidRDefault="006F0E97" w:rsidP="003C2D1A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6F0E97" w:rsidRPr="00522B9D" w:rsidRDefault="0024675A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Increased duration of action</w:t>
            </w:r>
            <w:r w:rsidR="00841B57" w:rsidRPr="00522B9D">
              <w:rPr>
                <w:sz w:val="20"/>
                <w:szCs w:val="20"/>
              </w:rPr>
              <w:t>, caution in elderly</w:t>
            </w:r>
          </w:p>
        </w:tc>
        <w:tc>
          <w:tcPr>
            <w:tcW w:w="1440" w:type="dxa"/>
          </w:tcPr>
          <w:p w:rsidR="006F0E97" w:rsidRPr="00522B9D" w:rsidRDefault="00841B57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B</w:t>
            </w:r>
          </w:p>
        </w:tc>
      </w:tr>
      <w:tr w:rsidR="00E416E2" w:rsidRPr="00522B9D" w:rsidTr="00F23010">
        <w:trPr>
          <w:trHeight w:val="514"/>
        </w:trPr>
        <w:tc>
          <w:tcPr>
            <w:tcW w:w="1728" w:type="dxa"/>
          </w:tcPr>
          <w:p w:rsidR="006F0E97" w:rsidRPr="00522B9D" w:rsidRDefault="008D2522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Levocabastine</w:t>
            </w:r>
          </w:p>
          <w:p w:rsidR="00E41208" w:rsidRPr="00522B9D" w:rsidRDefault="00E41208" w:rsidP="003C2D1A">
            <w:pPr>
              <w:spacing w:line="312" w:lineRule="auto"/>
              <w:rPr>
                <w:sz w:val="20"/>
                <w:szCs w:val="20"/>
              </w:rPr>
            </w:pPr>
          </w:p>
          <w:p w:rsidR="00E41208" w:rsidRPr="00522B9D" w:rsidRDefault="00E41208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Livostin eye drops</w:t>
            </w:r>
          </w:p>
        </w:tc>
        <w:tc>
          <w:tcPr>
            <w:tcW w:w="1780" w:type="dxa"/>
          </w:tcPr>
          <w:p w:rsidR="006F0E97" w:rsidRPr="00522B9D" w:rsidRDefault="006F0E97" w:rsidP="003C2D1A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Ophthalmic antihistamines</w:t>
            </w:r>
          </w:p>
        </w:tc>
        <w:tc>
          <w:tcPr>
            <w:tcW w:w="1510" w:type="dxa"/>
          </w:tcPr>
          <w:p w:rsidR="006F0E97" w:rsidRPr="00522B9D" w:rsidRDefault="00F73B7F" w:rsidP="003C2D1A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Seasonal, </w:t>
            </w:r>
            <w:r w:rsidR="008D2522" w:rsidRPr="00522B9D">
              <w:rPr>
                <w:sz w:val="20"/>
                <w:szCs w:val="20"/>
              </w:rPr>
              <w:t>Addition to nasal steroids when ocular symptoms occur</w:t>
            </w:r>
          </w:p>
        </w:tc>
        <w:tc>
          <w:tcPr>
            <w:tcW w:w="1440" w:type="dxa"/>
          </w:tcPr>
          <w:p w:rsidR="006F0E97" w:rsidRPr="00522B9D" w:rsidRDefault="006F0E97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conjunctivitis</w:t>
            </w:r>
          </w:p>
        </w:tc>
        <w:tc>
          <w:tcPr>
            <w:tcW w:w="1172" w:type="dxa"/>
          </w:tcPr>
          <w:p w:rsidR="006F0E97" w:rsidRPr="00522B9D" w:rsidRDefault="00522B9D" w:rsidP="00522B9D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 xml:space="preserve">Instill 1 drop in affected eye(s) 2 times/day; may increase to 1 drop 3-4 times/day. </w:t>
            </w:r>
          </w:p>
        </w:tc>
        <w:tc>
          <w:tcPr>
            <w:tcW w:w="1349" w:type="dxa"/>
          </w:tcPr>
          <w:p w:rsidR="006F0E97" w:rsidRPr="00522B9D" w:rsidRDefault="00522B9D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Children ≥12 years, same as adult</w:t>
            </w:r>
          </w:p>
        </w:tc>
        <w:tc>
          <w:tcPr>
            <w:tcW w:w="1749" w:type="dxa"/>
          </w:tcPr>
          <w:p w:rsidR="006F0E97" w:rsidRPr="00522B9D" w:rsidRDefault="00484BAB" w:rsidP="003C2D1A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Avoid while wearing soft contact lenses </w:t>
            </w:r>
            <w:r w:rsidRPr="008A01DE">
              <w:rPr>
                <w:sz w:val="20"/>
                <w:szCs w:val="20"/>
              </w:rPr>
              <w:t>since  contains benzalkonium chloride</w:t>
            </w:r>
          </w:p>
        </w:tc>
        <w:tc>
          <w:tcPr>
            <w:tcW w:w="720" w:type="dxa"/>
          </w:tcPr>
          <w:p w:rsidR="006F0E97" w:rsidRPr="00522B9D" w:rsidRDefault="00F013BC" w:rsidP="003C2D1A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US</w:t>
            </w:r>
          </w:p>
        </w:tc>
        <w:tc>
          <w:tcPr>
            <w:tcW w:w="1980" w:type="dxa"/>
          </w:tcPr>
          <w:p w:rsidR="006F0E97" w:rsidRDefault="00522B9D" w:rsidP="003C2D1A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If no improvement within 3 days, consider discontinuation of therapy.</w:t>
            </w:r>
          </w:p>
          <w:p w:rsidR="00484BAB" w:rsidRDefault="00484BAB" w:rsidP="003C2D1A">
            <w:pPr>
              <w:spacing w:line="312" w:lineRule="auto"/>
              <w:rPr>
                <w:sz w:val="20"/>
                <w:szCs w:val="20"/>
              </w:rPr>
            </w:pPr>
          </w:p>
          <w:p w:rsidR="00484BAB" w:rsidRPr="00522B9D" w:rsidRDefault="00484BAB" w:rsidP="003C2D1A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cause drowsiness</w:t>
            </w:r>
          </w:p>
        </w:tc>
        <w:tc>
          <w:tcPr>
            <w:tcW w:w="1440" w:type="dxa"/>
          </w:tcPr>
          <w:p w:rsidR="006F0E97" w:rsidRPr="00522B9D" w:rsidRDefault="006F0E97" w:rsidP="003C2D1A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9D4B71" w:rsidRPr="00522B9D" w:rsidTr="00F23010">
        <w:trPr>
          <w:trHeight w:val="514"/>
        </w:trPr>
        <w:tc>
          <w:tcPr>
            <w:tcW w:w="1728" w:type="dxa"/>
          </w:tcPr>
          <w:p w:rsidR="009D4B71" w:rsidRPr="009D4B71" w:rsidRDefault="009D4B71" w:rsidP="009D4B71">
            <w:pPr>
              <w:spacing w:line="312" w:lineRule="auto"/>
              <w:rPr>
                <w:rStyle w:val="doctitle"/>
                <w:sz w:val="20"/>
                <w:szCs w:val="20"/>
              </w:rPr>
            </w:pPr>
            <w:r w:rsidRPr="009D4B71">
              <w:rPr>
                <w:rStyle w:val="doctitle"/>
                <w:sz w:val="20"/>
                <w:szCs w:val="20"/>
              </w:rPr>
              <w:t>Naphazoline and Pheniramine</w:t>
            </w:r>
          </w:p>
          <w:p w:rsidR="009D4B71" w:rsidRPr="009D4B71" w:rsidRDefault="009D4B71" w:rsidP="009D4B71">
            <w:pPr>
              <w:spacing w:line="312" w:lineRule="auto"/>
              <w:rPr>
                <w:rStyle w:val="doctitle"/>
                <w:sz w:val="20"/>
                <w:szCs w:val="20"/>
              </w:rPr>
            </w:pPr>
          </w:p>
          <w:p w:rsidR="009D4B71" w:rsidRPr="009D4B71" w:rsidRDefault="009D4B71" w:rsidP="009D4B71">
            <w:pPr>
              <w:pStyle w:val="NormalWeb"/>
              <w:rPr>
                <w:sz w:val="20"/>
                <w:szCs w:val="20"/>
              </w:rPr>
            </w:pPr>
            <w:r w:rsidRPr="009D4B71">
              <w:rPr>
                <w:sz w:val="20"/>
                <w:szCs w:val="20"/>
              </w:rPr>
              <w:t>Naphcon-A® [OTC]; Opcon-A® [OTC]; Visine-A® [OTC]</w:t>
            </w:r>
          </w:p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80" w:type="dxa"/>
          </w:tcPr>
          <w:p w:rsidR="009D4B71" w:rsidRPr="00522B9D" w:rsidRDefault="009D4B71" w:rsidP="009D4B71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Ophthalmic antihistamines</w:t>
            </w:r>
            <w:r>
              <w:rPr>
                <w:b/>
                <w:sz w:val="20"/>
                <w:szCs w:val="20"/>
              </w:rPr>
              <w:t xml:space="preserve"> and vasoconstrictors</w:t>
            </w:r>
          </w:p>
        </w:tc>
        <w:tc>
          <w:tcPr>
            <w:tcW w:w="1510" w:type="dxa"/>
          </w:tcPr>
          <w:p w:rsidR="009D4B71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9D4B71" w:rsidRPr="002B1099" w:rsidRDefault="002B1099" w:rsidP="009D4B71">
            <w:pPr>
              <w:spacing w:line="312" w:lineRule="auto"/>
              <w:rPr>
                <w:sz w:val="20"/>
                <w:szCs w:val="20"/>
              </w:rPr>
            </w:pPr>
            <w:r w:rsidRPr="002B1099">
              <w:rPr>
                <w:sz w:val="20"/>
                <w:szCs w:val="20"/>
              </w:rPr>
              <w:t>1-2 drops into the affected eye(s) up to 4 times/day</w:t>
            </w:r>
          </w:p>
        </w:tc>
        <w:tc>
          <w:tcPr>
            <w:tcW w:w="1349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9D4B71" w:rsidRDefault="002B1099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Avoid while wearing soft contact lenses </w:t>
            </w:r>
            <w:r w:rsidRPr="008A01DE">
              <w:rPr>
                <w:sz w:val="20"/>
                <w:szCs w:val="20"/>
              </w:rPr>
              <w:t>since  contains benzalkonium chloride</w:t>
            </w:r>
          </w:p>
        </w:tc>
        <w:tc>
          <w:tcPr>
            <w:tcW w:w="720" w:type="dxa"/>
          </w:tcPr>
          <w:p w:rsidR="009D4B71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9D4B71" w:rsidRPr="00522B9D" w:rsidTr="00F23010">
        <w:trPr>
          <w:trHeight w:val="3047"/>
        </w:trPr>
        <w:tc>
          <w:tcPr>
            <w:tcW w:w="1728" w:type="dxa"/>
          </w:tcPr>
          <w:p w:rsidR="009D4B71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lastRenderedPageBreak/>
              <w:t>Azelastine</w:t>
            </w:r>
          </w:p>
          <w:p w:rsidR="00C46E62" w:rsidRDefault="00C46E62" w:rsidP="009D4B71">
            <w:pPr>
              <w:spacing w:line="312" w:lineRule="auto"/>
              <w:rPr>
                <w:sz w:val="20"/>
                <w:szCs w:val="20"/>
              </w:rPr>
            </w:pPr>
          </w:p>
          <w:p w:rsidR="00C46E62" w:rsidRPr="00522B9D" w:rsidRDefault="00C46E62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Astelin, Astepro</w:t>
            </w:r>
          </w:p>
        </w:tc>
        <w:tc>
          <w:tcPr>
            <w:tcW w:w="1780" w:type="dxa"/>
          </w:tcPr>
          <w:p w:rsidR="009D4B71" w:rsidRPr="00522B9D" w:rsidRDefault="009D4B71" w:rsidP="009D4B71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Intranasal antihistamines</w:t>
            </w:r>
          </w:p>
        </w:tc>
        <w:tc>
          <w:tcPr>
            <w:tcW w:w="151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Seasonal</w:t>
            </w:r>
          </w:p>
        </w:tc>
        <w:tc>
          <w:tcPr>
            <w:tcW w:w="144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Sneezing, rhinorrhea, nasal pruritus</w:t>
            </w:r>
          </w:p>
        </w:tc>
        <w:tc>
          <w:tcPr>
            <w:tcW w:w="1172" w:type="dxa"/>
          </w:tcPr>
          <w:p w:rsidR="009D4B71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0.15% (either)</w:t>
            </w:r>
            <w:r w:rsidR="00C46E62">
              <w:rPr>
                <w:sz w:val="20"/>
                <w:szCs w:val="20"/>
              </w:rPr>
              <w:t>,</w:t>
            </w:r>
          </w:p>
          <w:p w:rsidR="00C46E62" w:rsidRPr="00C46E62" w:rsidRDefault="00C46E62" w:rsidP="009D4B71">
            <w:pPr>
              <w:spacing w:line="312" w:lineRule="auto"/>
              <w:rPr>
                <w:sz w:val="20"/>
                <w:szCs w:val="20"/>
              </w:rPr>
            </w:pPr>
            <w:r w:rsidRPr="00C46E62">
              <w:rPr>
                <w:sz w:val="20"/>
                <w:szCs w:val="20"/>
              </w:rPr>
              <w:t>1-2 sprays each nostril twice daily</w:t>
            </w:r>
          </w:p>
        </w:tc>
        <w:tc>
          <w:tcPr>
            <w:tcW w:w="1349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0.1% (seasonal)</w:t>
            </w:r>
          </w:p>
        </w:tc>
        <w:tc>
          <w:tcPr>
            <w:tcW w:w="1749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Drying effects, headache, diminished effectiveness over time</w:t>
            </w:r>
            <w:r w:rsidR="00330220">
              <w:rPr>
                <w:sz w:val="20"/>
                <w:szCs w:val="20"/>
              </w:rPr>
              <w:t>, bitter taste</w:t>
            </w:r>
          </w:p>
        </w:tc>
        <w:tc>
          <w:tcPr>
            <w:tcW w:w="720" w:type="dxa"/>
          </w:tcPr>
          <w:p w:rsidR="009D4B71" w:rsidRPr="00522B9D" w:rsidRDefault="00C46E62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Potential drowsiness, rapid symptom relief</w:t>
            </w:r>
            <w:r w:rsidR="00C46E62">
              <w:rPr>
                <w:sz w:val="20"/>
                <w:szCs w:val="20"/>
              </w:rPr>
              <w:t xml:space="preserve">, </w:t>
            </w:r>
            <w:r w:rsidR="00C46E62" w:rsidRPr="00522B9D">
              <w:rPr>
                <w:sz w:val="20"/>
                <w:szCs w:val="20"/>
              </w:rPr>
              <w:t xml:space="preserve"> clear nasal passages before administration</w:t>
            </w:r>
          </w:p>
        </w:tc>
        <w:tc>
          <w:tcPr>
            <w:tcW w:w="1440" w:type="dxa"/>
          </w:tcPr>
          <w:p w:rsidR="009D4B71" w:rsidRPr="00522B9D" w:rsidRDefault="00C46E62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330220" w:rsidRPr="00522B9D" w:rsidTr="00F23010">
        <w:trPr>
          <w:trHeight w:val="493"/>
        </w:trPr>
        <w:tc>
          <w:tcPr>
            <w:tcW w:w="1728" w:type="dxa"/>
          </w:tcPr>
          <w:p w:rsidR="00330220" w:rsidRDefault="00330220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Olopatadine</w:t>
            </w:r>
          </w:p>
          <w:p w:rsidR="00330220" w:rsidRDefault="00330220" w:rsidP="009D4B71">
            <w:pPr>
              <w:spacing w:line="312" w:lineRule="auto"/>
              <w:rPr>
                <w:sz w:val="20"/>
                <w:szCs w:val="20"/>
              </w:rPr>
            </w:pPr>
          </w:p>
          <w:p w:rsidR="00330220" w:rsidRPr="00522B9D" w:rsidRDefault="00330220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Patanase</w:t>
            </w:r>
          </w:p>
        </w:tc>
        <w:tc>
          <w:tcPr>
            <w:tcW w:w="1780" w:type="dxa"/>
          </w:tcPr>
          <w:p w:rsidR="00330220" w:rsidRPr="00522B9D" w:rsidRDefault="004D7262" w:rsidP="009D4B71">
            <w:pPr>
              <w:spacing w:line="31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Intranasal antihistamine with mast cell stabilizing and anti-inflammatory </w:t>
            </w:r>
            <w:r w:rsidR="00E91CC6"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r</w:t>
            </w:r>
            <w:r w:rsidR="00E91CC6"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perties</w:t>
            </w:r>
          </w:p>
        </w:tc>
        <w:tc>
          <w:tcPr>
            <w:tcW w:w="1510" w:type="dxa"/>
          </w:tcPr>
          <w:p w:rsidR="00330220" w:rsidRPr="00522B9D" w:rsidRDefault="00330220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Seasonal</w:t>
            </w:r>
          </w:p>
        </w:tc>
        <w:tc>
          <w:tcPr>
            <w:tcW w:w="1440" w:type="dxa"/>
          </w:tcPr>
          <w:p w:rsidR="00330220" w:rsidRPr="00522B9D" w:rsidRDefault="00330220" w:rsidP="009D4B71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330220" w:rsidRPr="00330220" w:rsidRDefault="00330220" w:rsidP="009D4B71">
            <w:pPr>
              <w:spacing w:line="312" w:lineRule="auto"/>
              <w:rPr>
                <w:sz w:val="20"/>
                <w:szCs w:val="20"/>
              </w:rPr>
            </w:pPr>
            <w:r w:rsidRPr="00330220">
              <w:rPr>
                <w:sz w:val="20"/>
                <w:szCs w:val="20"/>
              </w:rPr>
              <w:t>2 sprays into each nostril twice daily</w:t>
            </w:r>
          </w:p>
        </w:tc>
        <w:tc>
          <w:tcPr>
            <w:tcW w:w="1349" w:type="dxa"/>
          </w:tcPr>
          <w:p w:rsidR="00330220" w:rsidRPr="00522B9D" w:rsidRDefault="00330220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Children ≥12 years, same as adult</w:t>
            </w:r>
          </w:p>
        </w:tc>
        <w:tc>
          <w:tcPr>
            <w:tcW w:w="1749" w:type="dxa"/>
          </w:tcPr>
          <w:p w:rsidR="00330220" w:rsidRPr="00522B9D" w:rsidRDefault="00FF418F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Drowsiness</w:t>
            </w:r>
            <w:r w:rsidR="00330220">
              <w:rPr>
                <w:sz w:val="20"/>
                <w:szCs w:val="20"/>
              </w:rPr>
              <w:t>, nasal ulcerations, bitter taste</w:t>
            </w:r>
          </w:p>
        </w:tc>
        <w:tc>
          <w:tcPr>
            <w:tcW w:w="720" w:type="dxa"/>
          </w:tcPr>
          <w:p w:rsidR="00330220" w:rsidRPr="00522B9D" w:rsidRDefault="00C46E62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330220" w:rsidRPr="00522B9D" w:rsidRDefault="00C46E62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clear nasal passages before administration</w:t>
            </w:r>
          </w:p>
        </w:tc>
        <w:tc>
          <w:tcPr>
            <w:tcW w:w="1440" w:type="dxa"/>
          </w:tcPr>
          <w:p w:rsidR="00330220" w:rsidRPr="00522B9D" w:rsidRDefault="00330220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9D4B71" w:rsidRPr="00522B9D" w:rsidTr="00F23010">
        <w:trPr>
          <w:trHeight w:val="514"/>
        </w:trPr>
        <w:tc>
          <w:tcPr>
            <w:tcW w:w="1728" w:type="dxa"/>
          </w:tcPr>
          <w:p w:rsidR="009D4B71" w:rsidRPr="00522B9D" w:rsidRDefault="009D4B71" w:rsidP="009D4B71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Pseudoephedrine, plain</w:t>
            </w:r>
          </w:p>
          <w:p w:rsidR="008E1E75" w:rsidRDefault="008E1E75" w:rsidP="009D4B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9D4B71" w:rsidRPr="00522B9D" w:rsidRDefault="009D4B71" w:rsidP="009D4B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Sudafed</w:t>
            </w:r>
          </w:p>
        </w:tc>
        <w:tc>
          <w:tcPr>
            <w:tcW w:w="1780" w:type="dxa"/>
          </w:tcPr>
          <w:p w:rsidR="009D4B71" w:rsidRPr="00522B9D" w:rsidRDefault="009D4B71" w:rsidP="009D4B71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Oral (Systemic) decongestants</w:t>
            </w:r>
          </w:p>
        </w:tc>
        <w:tc>
          <w:tcPr>
            <w:tcW w:w="151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Nasal congestion</w:t>
            </w:r>
          </w:p>
        </w:tc>
        <w:tc>
          <w:tcPr>
            <w:tcW w:w="1172" w:type="dxa"/>
          </w:tcPr>
          <w:p w:rsidR="009D4B71" w:rsidRPr="00522B9D" w:rsidRDefault="009D4B71" w:rsidP="009D4B71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60 mg every 4–6 h</w:t>
            </w:r>
          </w:p>
          <w:p w:rsidR="009D4B71" w:rsidRPr="00522B9D" w:rsidRDefault="009D4B71" w:rsidP="009D4B71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</w:p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MAX Dose: 240 mg/24hours</w:t>
            </w:r>
          </w:p>
        </w:tc>
        <w:tc>
          <w:tcPr>
            <w:tcW w:w="1349" w:type="dxa"/>
          </w:tcPr>
          <w:p w:rsidR="009D4B71" w:rsidRPr="00522B9D" w:rsidRDefault="009D4B71" w:rsidP="009D4B7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6–12 y: 30 mg every 4–6 h 2–5</w:t>
            </w:r>
          </w:p>
          <w:p w:rsidR="009D4B71" w:rsidRPr="00522B9D" w:rsidRDefault="009D4B71" w:rsidP="009D4B7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y: 15 mg every 4–6 h</w:t>
            </w:r>
          </w:p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MAX Dose: 120 mg/24hours</w:t>
            </w:r>
          </w:p>
        </w:tc>
        <w:tc>
          <w:tcPr>
            <w:tcW w:w="1749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CV stimulation: Increased BP, tachycardia, palpitations, arrhythmias; CNS stimulation: restlessness, insomnia, anxiety, tremors, hallucinations</w:t>
            </w:r>
          </w:p>
        </w:tc>
        <w:tc>
          <w:tcPr>
            <w:tcW w:w="72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 xml:space="preserve">Warnings: HTN, heart disease, diabetes, </w:t>
            </w:r>
            <w:r w:rsidR="0004333E">
              <w:rPr>
                <w:sz w:val="20"/>
                <w:szCs w:val="20"/>
              </w:rPr>
              <w:t xml:space="preserve">renal impairment, seizure disorder, </w:t>
            </w:r>
            <w:r w:rsidRPr="00522B9D">
              <w:rPr>
                <w:sz w:val="20"/>
                <w:szCs w:val="20"/>
              </w:rPr>
              <w:t>hyperthyroid, BPH; DDI with MAOIs</w:t>
            </w:r>
          </w:p>
        </w:tc>
        <w:tc>
          <w:tcPr>
            <w:tcW w:w="1440" w:type="dxa"/>
          </w:tcPr>
          <w:p w:rsidR="009D4B71" w:rsidRPr="00866675" w:rsidRDefault="00866675" w:rsidP="009D4B71">
            <w:pPr>
              <w:spacing w:line="312" w:lineRule="auto"/>
              <w:rPr>
                <w:sz w:val="20"/>
                <w:szCs w:val="20"/>
              </w:rPr>
            </w:pPr>
            <w:r w:rsidRPr="00866675">
              <w:rPr>
                <w:sz w:val="20"/>
                <w:szCs w:val="20"/>
              </w:rPr>
              <w:t>Avoid during the first trimester</w:t>
            </w:r>
            <w:r>
              <w:rPr>
                <w:sz w:val="20"/>
                <w:szCs w:val="20"/>
              </w:rPr>
              <w:t xml:space="preserve">, </w:t>
            </w:r>
            <w:r>
              <w:t xml:space="preserve"> </w:t>
            </w:r>
            <w:r>
              <w:rPr>
                <w:sz w:val="20"/>
                <w:szCs w:val="20"/>
              </w:rPr>
              <w:t>Decongestants are not</w:t>
            </w:r>
            <w:r w:rsidRPr="00866675">
              <w:rPr>
                <w:sz w:val="20"/>
                <w:szCs w:val="20"/>
              </w:rPr>
              <w:t xml:space="preserve"> preferred agents</w:t>
            </w:r>
            <w:r>
              <w:rPr>
                <w:sz w:val="20"/>
                <w:szCs w:val="20"/>
              </w:rPr>
              <w:t xml:space="preserve"> for treatment during pregnancy</w:t>
            </w:r>
          </w:p>
        </w:tc>
      </w:tr>
      <w:tr w:rsidR="009D4B71" w:rsidRPr="00522B9D" w:rsidTr="00F23010">
        <w:trPr>
          <w:trHeight w:val="2957"/>
        </w:trPr>
        <w:tc>
          <w:tcPr>
            <w:tcW w:w="1728" w:type="dxa"/>
          </w:tcPr>
          <w:p w:rsidR="009D4B71" w:rsidRPr="00522B9D" w:rsidRDefault="009D4B71" w:rsidP="009D4B71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lastRenderedPageBreak/>
              <w:t>Pseudoephedrine, sustained-releas</w:t>
            </w:r>
            <w:r w:rsidR="00840E3D">
              <w:rPr>
                <w:rFonts w:eastAsiaTheme="minorHAnsi"/>
                <w:sz w:val="20"/>
                <w:szCs w:val="20"/>
              </w:rPr>
              <w:t>e</w:t>
            </w:r>
          </w:p>
          <w:p w:rsidR="009D4B71" w:rsidRDefault="009D4B71" w:rsidP="009D4B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8E1E75" w:rsidRPr="00522B9D" w:rsidRDefault="008E1E75" w:rsidP="009D4B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Sudafed</w:t>
            </w:r>
            <w:r>
              <w:rPr>
                <w:sz w:val="20"/>
                <w:szCs w:val="20"/>
              </w:rPr>
              <w:t xml:space="preserve"> 12 hour</w:t>
            </w:r>
          </w:p>
        </w:tc>
        <w:tc>
          <w:tcPr>
            <w:tcW w:w="178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9D4B71" w:rsidRPr="00522B9D" w:rsidRDefault="009D4B71" w:rsidP="009D4B7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 xml:space="preserve">120 mg every 12 h </w:t>
            </w:r>
          </w:p>
          <w:p w:rsidR="009D4B71" w:rsidRPr="00522B9D" w:rsidRDefault="009D4B71" w:rsidP="009D4B71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</w:p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MAX Dose: 240 mg/24hours</w:t>
            </w:r>
          </w:p>
        </w:tc>
        <w:tc>
          <w:tcPr>
            <w:tcW w:w="1349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Not recommended</w:t>
            </w:r>
          </w:p>
        </w:tc>
        <w:tc>
          <w:tcPr>
            <w:tcW w:w="1749" w:type="dxa"/>
          </w:tcPr>
          <w:p w:rsidR="009D4B71" w:rsidRPr="00522B9D" w:rsidRDefault="00F52A38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9D4B71" w:rsidRPr="00522B9D" w:rsidRDefault="009D4B71" w:rsidP="009D4B71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9D4B71" w:rsidRPr="00522B9D" w:rsidRDefault="00F52A38" w:rsidP="009D4B71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1440" w:type="dxa"/>
          </w:tcPr>
          <w:p w:rsidR="009D4B71" w:rsidRPr="00522B9D" w:rsidRDefault="008E1E75" w:rsidP="009D4B71">
            <w:pPr>
              <w:spacing w:line="312" w:lineRule="auto"/>
              <w:rPr>
                <w:sz w:val="20"/>
                <w:szCs w:val="20"/>
              </w:rPr>
            </w:pPr>
            <w:r w:rsidRPr="00866675">
              <w:rPr>
                <w:sz w:val="20"/>
                <w:szCs w:val="20"/>
              </w:rPr>
              <w:t>Avoid during the first trimester</w:t>
            </w:r>
            <w:r>
              <w:rPr>
                <w:sz w:val="20"/>
                <w:szCs w:val="20"/>
              </w:rPr>
              <w:t xml:space="preserve">, </w:t>
            </w:r>
            <w:r>
              <w:t xml:space="preserve"> </w:t>
            </w:r>
            <w:r>
              <w:rPr>
                <w:sz w:val="20"/>
                <w:szCs w:val="20"/>
              </w:rPr>
              <w:t>Decongestants are not</w:t>
            </w:r>
            <w:r w:rsidRPr="00866675">
              <w:rPr>
                <w:sz w:val="20"/>
                <w:szCs w:val="20"/>
              </w:rPr>
              <w:t xml:space="preserve"> preferred agents</w:t>
            </w:r>
            <w:r>
              <w:rPr>
                <w:sz w:val="20"/>
                <w:szCs w:val="20"/>
              </w:rPr>
              <w:t xml:space="preserve"> for treatment during pregnancy</w:t>
            </w:r>
          </w:p>
        </w:tc>
      </w:tr>
      <w:tr w:rsidR="00AA4A53" w:rsidRPr="00522B9D" w:rsidTr="00F23010">
        <w:trPr>
          <w:trHeight w:val="514"/>
        </w:trPr>
        <w:tc>
          <w:tcPr>
            <w:tcW w:w="1728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Phenylephrine</w:t>
            </w:r>
          </w:p>
          <w:p w:rsidR="00AA4A53" w:rsidRDefault="00AA4A53" w:rsidP="00AA4A53">
            <w:pPr>
              <w:rPr>
                <w:sz w:val="20"/>
                <w:szCs w:val="20"/>
              </w:rPr>
            </w:pPr>
          </w:p>
          <w:p w:rsidR="00AA4A53" w:rsidRPr="00522B9D" w:rsidRDefault="00AA4A53" w:rsidP="00AA4A53">
            <w:pPr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Sudafed PE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522B9D" w:rsidRDefault="00AA4A53" w:rsidP="00AA4A53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10–20 mg every 4 h</w:t>
            </w:r>
          </w:p>
          <w:p w:rsidR="00AA4A53" w:rsidRPr="00522B9D" w:rsidRDefault="00AA4A53" w:rsidP="00AA4A53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MAX Dose: 60 mg/24 hours</w:t>
            </w:r>
          </w:p>
        </w:tc>
        <w:tc>
          <w:tcPr>
            <w:tcW w:w="1349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6–12 y: 10 mg every 4 h 2–6 y: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0.25% drops, 1 mL every 4 h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2–6 y: 0.25% drops, 1 mL every</w:t>
            </w:r>
          </w:p>
          <w:p w:rsidR="00AA4A53" w:rsidRPr="00522B9D" w:rsidRDefault="00AA4A53" w:rsidP="00AA4A53">
            <w:pPr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4 h</w:t>
            </w:r>
          </w:p>
          <w:p w:rsidR="00AA4A53" w:rsidRPr="00522B9D" w:rsidRDefault="00AA4A53" w:rsidP="00AA4A53">
            <w:pPr>
              <w:rPr>
                <w:rFonts w:eastAsiaTheme="minorHAnsi"/>
                <w:sz w:val="20"/>
                <w:szCs w:val="20"/>
              </w:rPr>
            </w:pPr>
          </w:p>
          <w:p w:rsidR="00AA4A53" w:rsidRPr="009A7B84" w:rsidRDefault="00AA4A53" w:rsidP="009A7B84">
            <w:pPr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MAX Dose: 30 mg/24 hours</w:t>
            </w:r>
          </w:p>
        </w:tc>
        <w:tc>
          <w:tcPr>
            <w:tcW w:w="1749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AA4A53" w:rsidRPr="00CC42E4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CC42E4">
              <w:rPr>
                <w:sz w:val="20"/>
                <w:szCs w:val="20"/>
              </w:rPr>
              <w:t>caution in patients with ast</w:t>
            </w:r>
            <w:r>
              <w:rPr>
                <w:sz w:val="20"/>
                <w:szCs w:val="20"/>
              </w:rPr>
              <w:t>hma, bowel obstruction</w:t>
            </w:r>
            <w:r w:rsidRPr="00CC42E4">
              <w:rPr>
                <w:sz w:val="20"/>
                <w:szCs w:val="20"/>
              </w:rPr>
              <w:t>, hy</w:t>
            </w:r>
            <w:r>
              <w:rPr>
                <w:sz w:val="20"/>
                <w:szCs w:val="20"/>
              </w:rPr>
              <w:t>perthyroidism, diabetes</w:t>
            </w:r>
            <w:r w:rsidRPr="00CC42E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 CVD</w:t>
            </w:r>
            <w:r w:rsidRPr="00CC42E4">
              <w:rPr>
                <w:sz w:val="20"/>
                <w:szCs w:val="20"/>
              </w:rPr>
              <w:t>, ischemic heart disease, hypertension, increased intraocular pressure, prostatic hyperplasia or in the elderly</w:t>
            </w: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C, </w:t>
            </w:r>
            <w:r w:rsidRPr="00866675">
              <w:rPr>
                <w:sz w:val="20"/>
                <w:szCs w:val="20"/>
              </w:rPr>
              <w:t>Avoid during the first trimester</w:t>
            </w:r>
            <w:r>
              <w:rPr>
                <w:sz w:val="20"/>
                <w:szCs w:val="20"/>
              </w:rPr>
              <w:t xml:space="preserve">, </w:t>
            </w:r>
            <w:r>
              <w:t xml:space="preserve"> </w:t>
            </w:r>
            <w:r>
              <w:rPr>
                <w:sz w:val="20"/>
                <w:szCs w:val="20"/>
              </w:rPr>
              <w:t>Decongestants are not</w:t>
            </w:r>
            <w:r w:rsidRPr="00866675">
              <w:rPr>
                <w:sz w:val="20"/>
                <w:szCs w:val="20"/>
              </w:rPr>
              <w:t xml:space="preserve"> preferred agents</w:t>
            </w:r>
            <w:r>
              <w:rPr>
                <w:sz w:val="20"/>
                <w:szCs w:val="20"/>
              </w:rPr>
              <w:t xml:space="preserve"> for treatment during pregnancy</w:t>
            </w:r>
          </w:p>
        </w:tc>
      </w:tr>
      <w:tr w:rsidR="00AA4A53" w:rsidRPr="00522B9D" w:rsidTr="00F23010">
        <w:trPr>
          <w:trHeight w:val="493"/>
        </w:trPr>
        <w:tc>
          <w:tcPr>
            <w:tcW w:w="1728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 xml:space="preserve">Phenylephrine hydrochloride </w:t>
            </w:r>
          </w:p>
          <w:p w:rsidR="00AA4A53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(Short acting)</w:t>
            </w:r>
          </w:p>
          <w:p w:rsidR="004C3FB6" w:rsidRDefault="004C3FB6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4C3FB6" w:rsidRPr="00522B9D" w:rsidRDefault="004C3FB6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4 way, Little noses, Vicks Sinex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Topical decongestants</w:t>
            </w: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Nasal congestion</w:t>
            </w:r>
          </w:p>
        </w:tc>
        <w:tc>
          <w:tcPr>
            <w:tcW w:w="1172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Every 4 h</w:t>
            </w:r>
          </w:p>
          <w:p w:rsidR="00AA4A53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1%</w:t>
            </w:r>
          </w:p>
          <w:p w:rsidR="005676B9" w:rsidRDefault="005676B9" w:rsidP="00AA4A53">
            <w:pPr>
              <w:spacing w:line="312" w:lineRule="auto"/>
              <w:rPr>
                <w:sz w:val="20"/>
                <w:szCs w:val="20"/>
              </w:rPr>
            </w:pPr>
          </w:p>
          <w:p w:rsidR="005676B9" w:rsidRPr="005676B9" w:rsidRDefault="005676B9" w:rsidP="00AA4A53">
            <w:pPr>
              <w:spacing w:line="312" w:lineRule="auto"/>
              <w:rPr>
                <w:sz w:val="20"/>
                <w:szCs w:val="20"/>
              </w:rPr>
            </w:pPr>
            <w:r w:rsidRPr="005676B9">
              <w:rPr>
                <w:sz w:val="20"/>
                <w:szCs w:val="20"/>
              </w:rPr>
              <w:t>Instill 2-3 sprays or 2-3 drops in each nostril</w:t>
            </w:r>
          </w:p>
        </w:tc>
        <w:tc>
          <w:tcPr>
            <w:tcW w:w="13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≥ 12 yo: 0.25 or 0.5 or 1 %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6-12 yo: 0.25 %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2- 6 yo : 0.125%</w:t>
            </w:r>
          </w:p>
        </w:tc>
        <w:tc>
          <w:tcPr>
            <w:tcW w:w="1749" w:type="dxa"/>
          </w:tcPr>
          <w:p w:rsidR="00AA4A53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Burning, stinging, sneezing, dryness of nasal mucosa</w:t>
            </w:r>
          </w:p>
          <w:p w:rsidR="001C5E17" w:rsidRDefault="001C5E17" w:rsidP="00AA4A53">
            <w:pPr>
              <w:spacing w:line="312" w:lineRule="auto"/>
              <w:rPr>
                <w:sz w:val="20"/>
                <w:szCs w:val="20"/>
              </w:rPr>
            </w:pPr>
          </w:p>
          <w:p w:rsidR="001C5E17" w:rsidRPr="001C5E17" w:rsidRDefault="001C5E17" w:rsidP="00AA4A53">
            <w:pPr>
              <w:spacing w:line="312" w:lineRule="auto"/>
              <w:rPr>
                <w:sz w:val="20"/>
                <w:szCs w:val="20"/>
              </w:rPr>
            </w:pPr>
            <w:r w:rsidRPr="001C5E17">
              <w:rPr>
                <w:sz w:val="20"/>
                <w:szCs w:val="20"/>
              </w:rPr>
              <w:t>Caution in BPH and increased intraocular pressure</w:t>
            </w:r>
          </w:p>
        </w:tc>
        <w:tc>
          <w:tcPr>
            <w:tcW w:w="72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 xml:space="preserve">Do NOT exceed 3-5 days (rhinitis medicamentosa), </w:t>
            </w:r>
            <w:r>
              <w:rPr>
                <w:sz w:val="20"/>
                <w:szCs w:val="20"/>
              </w:rPr>
              <w:t>c</w:t>
            </w:r>
            <w:r w:rsidRPr="00522B9D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</w:t>
            </w:r>
            <w:r w:rsidRPr="00522B9D">
              <w:rPr>
                <w:sz w:val="20"/>
                <w:szCs w:val="20"/>
              </w:rPr>
              <w:t>ar nose first, don’t blow nose for 5 min after</w:t>
            </w:r>
            <w:r w:rsidR="009A7B84">
              <w:rPr>
                <w:sz w:val="20"/>
                <w:szCs w:val="20"/>
              </w:rPr>
              <w:t>, Caution in CVD including ischemic, diabetes, hyperthyroidism and elderly</w:t>
            </w:r>
          </w:p>
        </w:tc>
        <w:tc>
          <w:tcPr>
            <w:tcW w:w="1440" w:type="dxa"/>
          </w:tcPr>
          <w:p w:rsidR="00AA4A53" w:rsidRPr="00522B9D" w:rsidRDefault="001C5E17" w:rsidP="001C5E17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Decongestants not</w:t>
            </w:r>
            <w:r w:rsidRPr="00866675">
              <w:rPr>
                <w:sz w:val="20"/>
                <w:szCs w:val="20"/>
              </w:rPr>
              <w:t xml:space="preserve"> preferred agents</w:t>
            </w:r>
            <w:r>
              <w:rPr>
                <w:sz w:val="20"/>
                <w:szCs w:val="20"/>
              </w:rPr>
              <w:t xml:space="preserve"> for treatment during pregnancy, </w:t>
            </w:r>
            <w:r w:rsidRPr="001C5E17">
              <w:rPr>
                <w:sz w:val="20"/>
                <w:szCs w:val="20"/>
              </w:rPr>
              <w:t>Short-term use (&lt;3 days)</w:t>
            </w:r>
            <w:r>
              <w:rPr>
                <w:sz w:val="20"/>
                <w:szCs w:val="20"/>
              </w:rPr>
              <w:t xml:space="preserve"> may benefit some pts.</w:t>
            </w:r>
          </w:p>
        </w:tc>
      </w:tr>
      <w:tr w:rsidR="00AA4A53" w:rsidRPr="00522B9D" w:rsidTr="00F23010">
        <w:trPr>
          <w:trHeight w:val="493"/>
        </w:trPr>
        <w:tc>
          <w:tcPr>
            <w:tcW w:w="1728" w:type="dxa"/>
          </w:tcPr>
          <w:p w:rsidR="00AA4A53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lastRenderedPageBreak/>
              <w:t>Naphazoline hydrochloride (intermediate acting)</w:t>
            </w:r>
          </w:p>
          <w:p w:rsidR="004C3FB6" w:rsidRDefault="004C3FB6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4C3FB6" w:rsidRPr="00522B9D" w:rsidRDefault="004C3FB6" w:rsidP="00AA4A5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Privine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 xml:space="preserve">Every </w:t>
            </w:r>
            <w:r w:rsidRPr="00522B9D">
              <w:rPr>
                <w:rFonts w:eastAsiaTheme="minorHAnsi"/>
                <w:sz w:val="20"/>
                <w:szCs w:val="20"/>
              </w:rPr>
              <w:t>6 h</w:t>
            </w:r>
          </w:p>
          <w:p w:rsidR="00AA4A53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 xml:space="preserve">0.05% </w:t>
            </w:r>
          </w:p>
          <w:p w:rsidR="005676B9" w:rsidRPr="005676B9" w:rsidRDefault="005676B9" w:rsidP="00AA4A53">
            <w:pPr>
              <w:spacing w:line="312" w:lineRule="auto"/>
              <w:rPr>
                <w:sz w:val="20"/>
                <w:szCs w:val="20"/>
              </w:rPr>
            </w:pPr>
            <w:r w:rsidRPr="005676B9">
              <w:rPr>
                <w:sz w:val="20"/>
                <w:szCs w:val="20"/>
              </w:rPr>
              <w:t>1-2 drops or sprays</w:t>
            </w:r>
          </w:p>
        </w:tc>
        <w:tc>
          <w:tcPr>
            <w:tcW w:w="13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≥ 12 yo</w:t>
            </w:r>
          </w:p>
        </w:tc>
        <w:tc>
          <w:tcPr>
            <w:tcW w:w="1749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AA4A53" w:rsidRPr="00522B9D" w:rsidTr="00F23010">
        <w:trPr>
          <w:trHeight w:val="493"/>
        </w:trPr>
        <w:tc>
          <w:tcPr>
            <w:tcW w:w="1728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Tetrahydrozoline hydrochloride</w:t>
            </w:r>
          </w:p>
          <w:p w:rsidR="00AA4A53" w:rsidRDefault="00AA4A53" w:rsidP="00AA4A53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(intermediate acting)</w:t>
            </w:r>
          </w:p>
          <w:p w:rsidR="000147A1" w:rsidRDefault="000147A1" w:rsidP="00AA4A53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</w:p>
          <w:p w:rsidR="000147A1" w:rsidRPr="00522B9D" w:rsidRDefault="000147A1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Tyzine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0147A1" w:rsidRDefault="000147A1" w:rsidP="00AA4A53">
            <w:pPr>
              <w:spacing w:line="312" w:lineRule="auto"/>
              <w:rPr>
                <w:sz w:val="20"/>
                <w:szCs w:val="20"/>
              </w:rPr>
            </w:pPr>
            <w:r w:rsidRPr="000147A1">
              <w:rPr>
                <w:sz w:val="20"/>
                <w:szCs w:val="20"/>
              </w:rPr>
              <w:t>Instill 2-4 drops or 3-4 sprays of 0.1% solution into each nostril every 3-4 hours</w:t>
            </w:r>
          </w:p>
        </w:tc>
        <w:tc>
          <w:tcPr>
            <w:tcW w:w="1349" w:type="dxa"/>
          </w:tcPr>
          <w:p w:rsidR="000147A1" w:rsidRDefault="000147A1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6 yo: see adult dosing</w:t>
            </w:r>
          </w:p>
          <w:p w:rsidR="000147A1" w:rsidRDefault="000147A1" w:rsidP="00AA4A53">
            <w:pPr>
              <w:spacing w:line="312" w:lineRule="auto"/>
              <w:rPr>
                <w:sz w:val="20"/>
                <w:szCs w:val="20"/>
              </w:rPr>
            </w:pPr>
          </w:p>
          <w:p w:rsidR="00AA4A53" w:rsidRPr="000147A1" w:rsidRDefault="000147A1" w:rsidP="00AA4A53">
            <w:pPr>
              <w:spacing w:line="312" w:lineRule="auto"/>
              <w:rPr>
                <w:sz w:val="20"/>
                <w:szCs w:val="20"/>
              </w:rPr>
            </w:pPr>
            <w:r w:rsidRPr="000147A1">
              <w:rPr>
                <w:sz w:val="20"/>
                <w:szCs w:val="20"/>
              </w:rPr>
              <w:t>2-6 years: Instill 2-3 drops of 0.05% solution into each nostril every 4-6 hours as needed</w:t>
            </w:r>
          </w:p>
        </w:tc>
        <w:tc>
          <w:tcPr>
            <w:tcW w:w="1749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1440" w:type="dxa"/>
          </w:tcPr>
          <w:p w:rsidR="00AA4A53" w:rsidRPr="00522B9D" w:rsidRDefault="007A6E80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AA4A53" w:rsidRPr="00522B9D" w:rsidTr="00F23010">
        <w:trPr>
          <w:trHeight w:val="4172"/>
        </w:trPr>
        <w:tc>
          <w:tcPr>
            <w:tcW w:w="1728" w:type="dxa"/>
          </w:tcPr>
          <w:p w:rsidR="00AA4A53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Oxymetazoline hydrochloride (Long acting)</w:t>
            </w:r>
          </w:p>
          <w:p w:rsidR="002E532F" w:rsidRDefault="002E532F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2E532F" w:rsidRPr="00522B9D" w:rsidRDefault="002E532F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Afrin, 4 way 12 hr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Every 12 h</w:t>
            </w:r>
          </w:p>
          <w:p w:rsidR="00AA4A53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0.05 %</w:t>
            </w:r>
          </w:p>
          <w:p w:rsidR="002E532F" w:rsidRDefault="002E532F" w:rsidP="00AA4A53">
            <w:pPr>
              <w:spacing w:line="312" w:lineRule="auto"/>
              <w:rPr>
                <w:sz w:val="20"/>
                <w:szCs w:val="20"/>
              </w:rPr>
            </w:pPr>
          </w:p>
          <w:p w:rsidR="002E532F" w:rsidRPr="002E532F" w:rsidRDefault="002E532F" w:rsidP="00AA4A53">
            <w:pPr>
              <w:spacing w:line="312" w:lineRule="auto"/>
              <w:rPr>
                <w:sz w:val="20"/>
                <w:szCs w:val="20"/>
              </w:rPr>
            </w:pPr>
            <w:r w:rsidRPr="002E532F">
              <w:rPr>
                <w:sz w:val="20"/>
                <w:szCs w:val="20"/>
              </w:rPr>
              <w:t>Instill 2-3 sprays into each nostril twice daily</w:t>
            </w:r>
          </w:p>
        </w:tc>
        <w:tc>
          <w:tcPr>
            <w:tcW w:w="13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6 or older : 0.05 %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2-6 yo: 0.025%</w:t>
            </w:r>
          </w:p>
        </w:tc>
        <w:tc>
          <w:tcPr>
            <w:tcW w:w="1749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AA4A53" w:rsidRPr="00522B9D" w:rsidTr="00F23010">
        <w:trPr>
          <w:trHeight w:val="514"/>
        </w:trPr>
        <w:tc>
          <w:tcPr>
            <w:tcW w:w="1728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lastRenderedPageBreak/>
              <w:t>Beclomethasone dipropionate,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Monohydrate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Beconase Aq,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Vancenase Aq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Intranasal corticosteroids</w:t>
            </w: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Seasonal (when congestion present, begin before exposure); Excellent choice for perennial, useful controller drug</w:t>
            </w: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 xml:space="preserve">Sneezing, rhinorrhea, itching, nasal congestion, </w:t>
            </w:r>
            <w:r w:rsidRPr="00522B9D">
              <w:rPr>
                <w:b/>
                <w:sz w:val="20"/>
                <w:szCs w:val="20"/>
              </w:rPr>
              <w:t>Most effective against late phase mediators</w:t>
            </w:r>
          </w:p>
        </w:tc>
        <w:tc>
          <w:tcPr>
            <w:tcW w:w="1172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&gt;12 y: 1–2 inhalations (42–84 mcg) twice daily in each nostril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6–12 y: 1 inhalation per nostril (42 mcg) twice daily to start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Sneezing, stinging, headache, epistaxis;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Growth suppression in prepubertal children?</w:t>
            </w:r>
          </w:p>
        </w:tc>
        <w:tc>
          <w:tcPr>
            <w:tcW w:w="72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Peak responses may take 2-3 weeks, once response achieved can reduce dose, clear nasal passages before administration; Not for pts. with nasal septum ulcers or recent nasal surgery; may confer protection against asthma exacerbations</w:t>
            </w:r>
          </w:p>
        </w:tc>
        <w:tc>
          <w:tcPr>
            <w:tcW w:w="144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AA4A53" w:rsidRPr="00522B9D" w:rsidTr="00F23010">
        <w:trPr>
          <w:trHeight w:val="514"/>
        </w:trPr>
        <w:tc>
          <w:tcPr>
            <w:tcW w:w="1728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 xml:space="preserve">Budesonide 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Rhino</w:t>
            </w:r>
            <w:r w:rsidRPr="00522B9D">
              <w:rPr>
                <w:rFonts w:eastAsiaTheme="minorHAnsi"/>
                <w:sz w:val="20"/>
                <w:szCs w:val="20"/>
              </w:rPr>
              <w:t>c</w:t>
            </w:r>
            <w:r>
              <w:rPr>
                <w:rFonts w:eastAsiaTheme="minorHAnsi"/>
                <w:sz w:val="20"/>
                <w:szCs w:val="20"/>
              </w:rPr>
              <w:t>o</w:t>
            </w:r>
            <w:r w:rsidRPr="00522B9D">
              <w:rPr>
                <w:rFonts w:eastAsiaTheme="minorHAnsi"/>
                <w:sz w:val="20"/>
                <w:szCs w:val="20"/>
              </w:rPr>
              <w:t>rt Aq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&gt;6 y: 2 sprays (64 mcg) per nostril in am and pm or 4 sprays per nostril in am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(maximum: 256 mcg)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B</w:t>
            </w:r>
          </w:p>
        </w:tc>
      </w:tr>
      <w:tr w:rsidR="00AA4A53" w:rsidRPr="00522B9D" w:rsidTr="00F23010">
        <w:trPr>
          <w:trHeight w:val="3128"/>
        </w:trPr>
        <w:tc>
          <w:tcPr>
            <w:tcW w:w="1728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 xml:space="preserve">Flunisolide 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Nasalide, Nasarel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2 sprays (50 mcg) per nostril twice daily (maximum: 400 mcg)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1 spray per nostril three times a day</w:t>
            </w:r>
          </w:p>
        </w:tc>
        <w:tc>
          <w:tcPr>
            <w:tcW w:w="1749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144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AA4A53" w:rsidRPr="00522B9D" w:rsidTr="00F23010">
        <w:trPr>
          <w:trHeight w:val="514"/>
        </w:trPr>
        <w:tc>
          <w:tcPr>
            <w:tcW w:w="1728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lastRenderedPageBreak/>
              <w:t>Fluticasone propionate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Flonase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Fluticasone furoate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Veramyst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2 sprays (100 mcg) per nostril once daily; after a few days decrease to 1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spray per nostril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&gt;4 y and adolescents: 1 spray per nostril once daily (maximum: 200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mcg/day)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144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AA4A53" w:rsidRPr="00522B9D" w:rsidTr="00F23010">
        <w:trPr>
          <w:trHeight w:val="514"/>
        </w:trPr>
        <w:tc>
          <w:tcPr>
            <w:tcW w:w="1728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 xml:space="preserve">Mometasone furoate 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Nasonex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&gt;12 y: 2 sprays (100 mcg) per nostril once daily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144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AA4A53" w:rsidRPr="00522B9D" w:rsidTr="00F23010">
        <w:trPr>
          <w:trHeight w:val="514"/>
        </w:trPr>
        <w:tc>
          <w:tcPr>
            <w:tcW w:w="1728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 xml:space="preserve">Triamcinolone acetonide 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Nasacort Aq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522B9D" w:rsidRDefault="00AA4A53" w:rsidP="00AA4A53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&gt;12 y: 2 sprays (110 mcg) per nostril once daily (maximum: 440 mcg/day)</w:t>
            </w:r>
          </w:p>
        </w:tc>
        <w:tc>
          <w:tcPr>
            <w:tcW w:w="13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144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AA4A53" w:rsidRPr="00522B9D" w:rsidTr="00F23010">
        <w:trPr>
          <w:trHeight w:val="2615"/>
        </w:trPr>
        <w:tc>
          <w:tcPr>
            <w:tcW w:w="1728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Cilesonide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Omnaris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FF1BD8" w:rsidRDefault="00FF1BD8" w:rsidP="00AA4A53">
            <w:pPr>
              <w:spacing w:line="312" w:lineRule="auto"/>
              <w:rPr>
                <w:rFonts w:eastAsiaTheme="minorHAnsi"/>
                <w:sz w:val="20"/>
                <w:szCs w:val="20"/>
              </w:rPr>
            </w:pPr>
            <w:r w:rsidRPr="00FF1BD8">
              <w:rPr>
                <w:sz w:val="20"/>
                <w:szCs w:val="20"/>
              </w:rPr>
              <w:t>2 sprays (50 mcg/spray) per nostril once daily; maximum: 200 mcg/day</w:t>
            </w:r>
          </w:p>
        </w:tc>
        <w:tc>
          <w:tcPr>
            <w:tcW w:w="1349" w:type="dxa"/>
          </w:tcPr>
          <w:p w:rsidR="00AA4A53" w:rsidRPr="00FF1BD8" w:rsidRDefault="00FF1BD8" w:rsidP="00AA4A53">
            <w:pPr>
              <w:spacing w:line="312" w:lineRule="auto"/>
              <w:rPr>
                <w:sz w:val="20"/>
                <w:szCs w:val="20"/>
              </w:rPr>
            </w:pPr>
            <w:r w:rsidRPr="00FF1BD8">
              <w:rPr>
                <w:sz w:val="20"/>
                <w:szCs w:val="20"/>
              </w:rPr>
              <w:t>Children ≥12 years: Refer to adult dosin</w:t>
            </w:r>
            <w:r>
              <w:rPr>
                <w:sz w:val="20"/>
                <w:szCs w:val="20"/>
              </w:rPr>
              <w:t>g</w:t>
            </w:r>
          </w:p>
        </w:tc>
        <w:tc>
          <w:tcPr>
            <w:tcW w:w="1749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72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AA4A53" w:rsidRPr="00522B9D" w:rsidRDefault="00F52A38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</w:p>
        </w:tc>
        <w:tc>
          <w:tcPr>
            <w:tcW w:w="1440" w:type="dxa"/>
          </w:tcPr>
          <w:p w:rsidR="00AA4A53" w:rsidRPr="00522B9D" w:rsidRDefault="006A046F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AA4A53" w:rsidRPr="00522B9D" w:rsidTr="00F23010">
        <w:trPr>
          <w:trHeight w:val="514"/>
        </w:trPr>
        <w:tc>
          <w:tcPr>
            <w:tcW w:w="1728" w:type="dxa"/>
          </w:tcPr>
          <w:p w:rsidR="00AA4A53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lastRenderedPageBreak/>
              <w:t>Cromolyn sodium</w:t>
            </w:r>
          </w:p>
          <w:p w:rsidR="00EC0A87" w:rsidRDefault="00EC0A87" w:rsidP="00AA4A53">
            <w:pPr>
              <w:spacing w:line="312" w:lineRule="auto"/>
              <w:rPr>
                <w:sz w:val="20"/>
                <w:szCs w:val="20"/>
              </w:rPr>
            </w:pPr>
          </w:p>
          <w:p w:rsidR="00EC0A87" w:rsidRPr="00EC0A87" w:rsidRDefault="00EC0A87" w:rsidP="00AA4A53">
            <w:pPr>
              <w:spacing w:line="312" w:lineRule="auto"/>
              <w:rPr>
                <w:sz w:val="20"/>
                <w:szCs w:val="20"/>
              </w:rPr>
            </w:pPr>
            <w:r w:rsidRPr="00EC0A87">
              <w:rPr>
                <w:sz w:val="20"/>
                <w:szCs w:val="20"/>
              </w:rPr>
              <w:t>NasalCrom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Mast cell stabilizers</w:t>
            </w: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Seasonal (use before allergen’s season starts); Perennial (may take 2-4 weeks to see improvement)</w:t>
            </w: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Prevents symptoms</w:t>
            </w:r>
          </w:p>
        </w:tc>
        <w:tc>
          <w:tcPr>
            <w:tcW w:w="1172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1 spray in each nostril 3-4x/day at regular intervals of 4-6 h to maintain effect</w:t>
            </w:r>
          </w:p>
        </w:tc>
        <w:tc>
          <w:tcPr>
            <w:tcW w:w="13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&gt; 2 yo: 1 spray in each nostril 3-4x/day at regular intervals of 4-6 h to maintain effect</w:t>
            </w:r>
          </w:p>
        </w:tc>
        <w:tc>
          <w:tcPr>
            <w:tcW w:w="17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Local irritation, sneezing, stinging</w:t>
            </w:r>
          </w:p>
        </w:tc>
        <w:tc>
          <w:tcPr>
            <w:tcW w:w="72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OTC</w:t>
            </w:r>
          </w:p>
        </w:tc>
        <w:tc>
          <w:tcPr>
            <w:tcW w:w="19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Clear nasal passages before administration, must cover entire nasal lining</w:t>
            </w: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Preferred initial DOC during pregnancy and lactation</w:t>
            </w:r>
          </w:p>
        </w:tc>
      </w:tr>
      <w:tr w:rsidR="00AA4A53" w:rsidRPr="00522B9D" w:rsidTr="00F23010">
        <w:trPr>
          <w:trHeight w:val="493"/>
        </w:trPr>
        <w:tc>
          <w:tcPr>
            <w:tcW w:w="1728" w:type="dxa"/>
          </w:tcPr>
          <w:p w:rsidR="00AA4A53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Ipratropium bromide</w:t>
            </w:r>
          </w:p>
          <w:p w:rsidR="003B5CB7" w:rsidRDefault="003B5CB7" w:rsidP="00AA4A53">
            <w:pPr>
              <w:spacing w:line="312" w:lineRule="auto"/>
              <w:rPr>
                <w:sz w:val="20"/>
                <w:szCs w:val="20"/>
              </w:rPr>
            </w:pPr>
          </w:p>
          <w:p w:rsidR="003B5CB7" w:rsidRPr="00522B9D" w:rsidRDefault="003B5CB7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Atrovent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Intranasal anticholinergics</w:t>
            </w: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Perennial; Reserve for use when above therapies fail or not tolerated</w:t>
            </w: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Rhinorrhea</w:t>
            </w:r>
          </w:p>
        </w:tc>
        <w:tc>
          <w:tcPr>
            <w:tcW w:w="1172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0.03% 2 sprays (42 mcg) 2-3x/day</w:t>
            </w:r>
            <w:r w:rsidR="00AD452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9" w:type="dxa"/>
          </w:tcPr>
          <w:p w:rsidR="00AA4A53" w:rsidRPr="00CC5A07" w:rsidRDefault="00CC5A07" w:rsidP="00AA4A53">
            <w:pPr>
              <w:spacing w:line="312" w:lineRule="auto"/>
              <w:rPr>
                <w:sz w:val="20"/>
                <w:szCs w:val="20"/>
              </w:rPr>
            </w:pPr>
            <w:r w:rsidRPr="00CC5A07">
              <w:rPr>
                <w:sz w:val="20"/>
                <w:szCs w:val="20"/>
              </w:rPr>
              <w:t>Children ≥5 years: Refer to adult dosing</w:t>
            </w:r>
          </w:p>
        </w:tc>
        <w:tc>
          <w:tcPr>
            <w:tcW w:w="17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Headache, nosebleeds, nasal dryness, local irritation</w:t>
            </w:r>
          </w:p>
        </w:tc>
        <w:tc>
          <w:tcPr>
            <w:tcW w:w="720" w:type="dxa"/>
          </w:tcPr>
          <w:p w:rsidR="00AA4A53" w:rsidRPr="00522B9D" w:rsidRDefault="00946F37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AA4A53" w:rsidRPr="00522B9D" w:rsidRDefault="008F0BCD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Caution in glaucoma, </w:t>
            </w:r>
            <w:r>
              <w:t xml:space="preserve"> </w:t>
            </w:r>
            <w:r w:rsidRPr="008F0BCD">
              <w:rPr>
                <w:sz w:val="20"/>
                <w:szCs w:val="20"/>
              </w:rPr>
              <w:t>Myasthenia gravis, BPH/bladder neck obstruction</w:t>
            </w:r>
          </w:p>
        </w:tc>
        <w:tc>
          <w:tcPr>
            <w:tcW w:w="1440" w:type="dxa"/>
          </w:tcPr>
          <w:p w:rsidR="00AA4A53" w:rsidRPr="00522B9D" w:rsidRDefault="00CC5A07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AA4A53" w:rsidRPr="00522B9D" w:rsidTr="00F23010">
        <w:trPr>
          <w:trHeight w:val="5063"/>
        </w:trPr>
        <w:tc>
          <w:tcPr>
            <w:tcW w:w="1728" w:type="dxa"/>
          </w:tcPr>
          <w:p w:rsidR="00AA4A53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Montelukast</w:t>
            </w:r>
          </w:p>
          <w:p w:rsidR="00E71607" w:rsidRDefault="00E71607" w:rsidP="00AA4A53">
            <w:pPr>
              <w:spacing w:line="312" w:lineRule="auto"/>
              <w:rPr>
                <w:sz w:val="20"/>
                <w:szCs w:val="20"/>
              </w:rPr>
            </w:pPr>
          </w:p>
          <w:p w:rsidR="00E71607" w:rsidRPr="00E71607" w:rsidRDefault="00E71607" w:rsidP="00AA4A53">
            <w:pPr>
              <w:spacing w:line="312" w:lineRule="auto"/>
              <w:rPr>
                <w:sz w:val="20"/>
                <w:szCs w:val="20"/>
              </w:rPr>
            </w:pPr>
            <w:r w:rsidRPr="00E71607">
              <w:rPr>
                <w:sz w:val="20"/>
                <w:szCs w:val="20"/>
              </w:rPr>
              <w:t>Singulair</w:t>
            </w: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Leukotriene receptor antagonists</w:t>
            </w: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Combo with antihistamines more effective; Monotherapy in children with asthma and coexisting allergic rhinitis</w:t>
            </w: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Adults and adolescents &gt;14 years 10 mg tablet daily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6–14 y: 5 mg chewable tablet daily</w:t>
            </w: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</w:p>
          <w:p w:rsidR="00AA4A53" w:rsidRPr="00522B9D" w:rsidRDefault="00AA4A53" w:rsidP="00AA4A53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0"/>
                <w:szCs w:val="20"/>
              </w:rPr>
            </w:pPr>
            <w:r w:rsidRPr="00522B9D">
              <w:rPr>
                <w:rFonts w:eastAsiaTheme="minorHAnsi"/>
                <w:sz w:val="20"/>
                <w:szCs w:val="20"/>
              </w:rPr>
              <w:t>6 months to 5 years: 4 mg chewable tablet or oral granule packet daily</w:t>
            </w:r>
          </w:p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AA4A53" w:rsidRPr="00F23010" w:rsidRDefault="00E71607" w:rsidP="00AA4A53">
            <w:pPr>
              <w:spacing w:line="312" w:lineRule="auto"/>
              <w:rPr>
                <w:sz w:val="20"/>
                <w:szCs w:val="20"/>
              </w:rPr>
            </w:pPr>
            <w:r w:rsidRPr="00F23010">
              <w:rPr>
                <w:sz w:val="20"/>
                <w:szCs w:val="20"/>
              </w:rPr>
              <w:t>Neuropsychiatric events, headache, dizziness, fatigue</w:t>
            </w:r>
          </w:p>
        </w:tc>
        <w:tc>
          <w:tcPr>
            <w:tcW w:w="720" w:type="dxa"/>
          </w:tcPr>
          <w:p w:rsidR="00AA4A53" w:rsidRPr="00522B9D" w:rsidRDefault="00946F37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May be beneficial for men with significant BPH and pts. with difficulty stopping antihistamines a week before skin testing</w:t>
            </w:r>
          </w:p>
        </w:tc>
        <w:tc>
          <w:tcPr>
            <w:tcW w:w="1440" w:type="dxa"/>
          </w:tcPr>
          <w:p w:rsidR="00AA4A53" w:rsidRPr="00522B9D" w:rsidRDefault="00E71607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AA4A53" w:rsidRPr="00522B9D" w:rsidTr="00F23010">
        <w:trPr>
          <w:trHeight w:val="493"/>
        </w:trPr>
        <w:tc>
          <w:tcPr>
            <w:tcW w:w="1728" w:type="dxa"/>
          </w:tcPr>
          <w:p w:rsidR="00AA4A53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lastRenderedPageBreak/>
              <w:t>Omalizumab</w:t>
            </w:r>
          </w:p>
          <w:p w:rsidR="00872BF3" w:rsidRPr="00872BF3" w:rsidRDefault="00872BF3" w:rsidP="00872BF3">
            <w:pPr>
              <w:pStyle w:val="NormalWeb"/>
              <w:rPr>
                <w:sz w:val="20"/>
                <w:szCs w:val="20"/>
              </w:rPr>
            </w:pPr>
            <w:r w:rsidRPr="00872BF3">
              <w:rPr>
                <w:sz w:val="20"/>
                <w:szCs w:val="20"/>
              </w:rPr>
              <w:t>Xolair</w:t>
            </w:r>
          </w:p>
          <w:p w:rsidR="00872BF3" w:rsidRPr="00522B9D" w:rsidRDefault="00872BF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80" w:type="dxa"/>
          </w:tcPr>
          <w:p w:rsidR="00AA4A53" w:rsidRPr="00522B9D" w:rsidRDefault="00AA4A53" w:rsidP="00AA4A53">
            <w:pPr>
              <w:spacing w:line="312" w:lineRule="auto"/>
              <w:rPr>
                <w:b/>
                <w:sz w:val="20"/>
                <w:szCs w:val="20"/>
              </w:rPr>
            </w:pPr>
            <w:r w:rsidRPr="00522B9D">
              <w:rPr>
                <w:b/>
                <w:sz w:val="20"/>
                <w:szCs w:val="20"/>
              </w:rPr>
              <w:t>Recombinant humanized anti-IgE monoclonal antibody</w:t>
            </w:r>
          </w:p>
        </w:tc>
        <w:tc>
          <w:tcPr>
            <w:tcW w:w="151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Allergic asthma, seasonal and perennial</w:t>
            </w:r>
          </w:p>
        </w:tc>
        <w:tc>
          <w:tcPr>
            <w:tcW w:w="144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A4A53" w:rsidRPr="00522B9D" w:rsidRDefault="00106BA2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SubQ, every 2-4 weeks based on weight &amp; IgE serum levels</w:t>
            </w:r>
          </w:p>
        </w:tc>
        <w:tc>
          <w:tcPr>
            <w:tcW w:w="13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Good safety profile for children, malignancies, life threatening anaphylaxis, urticarial, serum sickness</w:t>
            </w:r>
          </w:p>
        </w:tc>
        <w:tc>
          <w:tcPr>
            <w:tcW w:w="720" w:type="dxa"/>
          </w:tcPr>
          <w:p w:rsidR="00AA4A53" w:rsidRPr="00522B9D" w:rsidRDefault="00946F37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</w:t>
            </w:r>
          </w:p>
        </w:tc>
        <w:tc>
          <w:tcPr>
            <w:tcW w:w="1980" w:type="dxa"/>
          </w:tcPr>
          <w:p w:rsidR="00AA4A53" w:rsidRPr="00522B9D" w:rsidRDefault="00AA4A53" w:rsidP="00AA4A53">
            <w:pPr>
              <w:spacing w:line="312" w:lineRule="auto"/>
              <w:rPr>
                <w:sz w:val="20"/>
                <w:szCs w:val="20"/>
              </w:rPr>
            </w:pPr>
            <w:r w:rsidRPr="00522B9D">
              <w:rPr>
                <w:sz w:val="20"/>
                <w:szCs w:val="20"/>
              </w:rPr>
              <w:t>Very expensive</w:t>
            </w:r>
          </w:p>
        </w:tc>
        <w:tc>
          <w:tcPr>
            <w:tcW w:w="1440" w:type="dxa"/>
          </w:tcPr>
          <w:p w:rsidR="00AA4A53" w:rsidRPr="00522B9D" w:rsidRDefault="00396735" w:rsidP="00AA4A53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:rsidR="00251D7E" w:rsidRPr="00522B9D" w:rsidRDefault="00251D7E" w:rsidP="003C2D1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sectPr w:rsidR="00251D7E" w:rsidRPr="00522B9D" w:rsidSect="00D017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920A6"/>
    <w:multiLevelType w:val="hybridMultilevel"/>
    <w:tmpl w:val="7D0EF846"/>
    <w:lvl w:ilvl="0" w:tplc="D50A4B9A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16"/>
    <w:rsid w:val="000147A1"/>
    <w:rsid w:val="0004333E"/>
    <w:rsid w:val="000543E1"/>
    <w:rsid w:val="00090087"/>
    <w:rsid w:val="000F7BCF"/>
    <w:rsid w:val="00106BA2"/>
    <w:rsid w:val="00156293"/>
    <w:rsid w:val="001838D0"/>
    <w:rsid w:val="001A33E4"/>
    <w:rsid w:val="001B674E"/>
    <w:rsid w:val="001C5E17"/>
    <w:rsid w:val="001E3AE2"/>
    <w:rsid w:val="001F7626"/>
    <w:rsid w:val="00241AB1"/>
    <w:rsid w:val="0024675A"/>
    <w:rsid w:val="00251D7E"/>
    <w:rsid w:val="00266183"/>
    <w:rsid w:val="002776F0"/>
    <w:rsid w:val="002778E2"/>
    <w:rsid w:val="00284E34"/>
    <w:rsid w:val="002908DF"/>
    <w:rsid w:val="00292AFD"/>
    <w:rsid w:val="002B1099"/>
    <w:rsid w:val="002B4E36"/>
    <w:rsid w:val="002E532F"/>
    <w:rsid w:val="00316ABE"/>
    <w:rsid w:val="003244F4"/>
    <w:rsid w:val="00330220"/>
    <w:rsid w:val="00332A00"/>
    <w:rsid w:val="00344C98"/>
    <w:rsid w:val="00347EE9"/>
    <w:rsid w:val="00372E39"/>
    <w:rsid w:val="00377F71"/>
    <w:rsid w:val="003914B3"/>
    <w:rsid w:val="00396735"/>
    <w:rsid w:val="003A0981"/>
    <w:rsid w:val="003B5CB7"/>
    <w:rsid w:val="003C2D1A"/>
    <w:rsid w:val="003E0A58"/>
    <w:rsid w:val="003F4B82"/>
    <w:rsid w:val="0043388B"/>
    <w:rsid w:val="00484BAB"/>
    <w:rsid w:val="00486BB3"/>
    <w:rsid w:val="00491EB5"/>
    <w:rsid w:val="004C3FB6"/>
    <w:rsid w:val="004D2408"/>
    <w:rsid w:val="004D7262"/>
    <w:rsid w:val="00522B9D"/>
    <w:rsid w:val="005676B9"/>
    <w:rsid w:val="0057369B"/>
    <w:rsid w:val="00676C13"/>
    <w:rsid w:val="006A046F"/>
    <w:rsid w:val="006A2F1E"/>
    <w:rsid w:val="006B2366"/>
    <w:rsid w:val="006F0E97"/>
    <w:rsid w:val="00747190"/>
    <w:rsid w:val="007A6E80"/>
    <w:rsid w:val="007D4198"/>
    <w:rsid w:val="008408CB"/>
    <w:rsid w:val="00840E3D"/>
    <w:rsid w:val="00841B57"/>
    <w:rsid w:val="00864CE7"/>
    <w:rsid w:val="00865828"/>
    <w:rsid w:val="00866675"/>
    <w:rsid w:val="00872BF3"/>
    <w:rsid w:val="00881FEE"/>
    <w:rsid w:val="0089005D"/>
    <w:rsid w:val="008904AD"/>
    <w:rsid w:val="008A01DE"/>
    <w:rsid w:val="008D2522"/>
    <w:rsid w:val="008D3951"/>
    <w:rsid w:val="008E1E75"/>
    <w:rsid w:val="008F0BCD"/>
    <w:rsid w:val="008F0F99"/>
    <w:rsid w:val="008F589F"/>
    <w:rsid w:val="00931881"/>
    <w:rsid w:val="00946F37"/>
    <w:rsid w:val="00947271"/>
    <w:rsid w:val="009A7B84"/>
    <w:rsid w:val="009B5A7C"/>
    <w:rsid w:val="009B7719"/>
    <w:rsid w:val="009D4B71"/>
    <w:rsid w:val="00A008A9"/>
    <w:rsid w:val="00A208FA"/>
    <w:rsid w:val="00A35E2A"/>
    <w:rsid w:val="00A53530"/>
    <w:rsid w:val="00A65E1F"/>
    <w:rsid w:val="00A82390"/>
    <w:rsid w:val="00AA4A53"/>
    <w:rsid w:val="00AB5CD6"/>
    <w:rsid w:val="00AC05A6"/>
    <w:rsid w:val="00AC1096"/>
    <w:rsid w:val="00AD452F"/>
    <w:rsid w:val="00AD60B9"/>
    <w:rsid w:val="00AF1503"/>
    <w:rsid w:val="00B15C5B"/>
    <w:rsid w:val="00B2150D"/>
    <w:rsid w:val="00B848CE"/>
    <w:rsid w:val="00BC5EA9"/>
    <w:rsid w:val="00BD017E"/>
    <w:rsid w:val="00C22FC0"/>
    <w:rsid w:val="00C46E62"/>
    <w:rsid w:val="00C564C2"/>
    <w:rsid w:val="00C82CA4"/>
    <w:rsid w:val="00C95740"/>
    <w:rsid w:val="00CA20DF"/>
    <w:rsid w:val="00CC40D3"/>
    <w:rsid w:val="00CC42E4"/>
    <w:rsid w:val="00CC52B2"/>
    <w:rsid w:val="00CC5A07"/>
    <w:rsid w:val="00CF1B59"/>
    <w:rsid w:val="00D01716"/>
    <w:rsid w:val="00D32464"/>
    <w:rsid w:val="00D76EC7"/>
    <w:rsid w:val="00E06D3A"/>
    <w:rsid w:val="00E157B1"/>
    <w:rsid w:val="00E41208"/>
    <w:rsid w:val="00E416E2"/>
    <w:rsid w:val="00E54231"/>
    <w:rsid w:val="00E71607"/>
    <w:rsid w:val="00E91CC6"/>
    <w:rsid w:val="00EB41E9"/>
    <w:rsid w:val="00EC0A87"/>
    <w:rsid w:val="00F013BC"/>
    <w:rsid w:val="00F23010"/>
    <w:rsid w:val="00F354DA"/>
    <w:rsid w:val="00F52A38"/>
    <w:rsid w:val="00F73B7F"/>
    <w:rsid w:val="00F85C02"/>
    <w:rsid w:val="00FF1BD8"/>
    <w:rsid w:val="00FF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17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6F0"/>
    <w:pPr>
      <w:ind w:left="720"/>
      <w:contextualSpacing/>
    </w:pPr>
  </w:style>
  <w:style w:type="character" w:customStyle="1" w:styleId="doctitle">
    <w:name w:val="doctitle"/>
    <w:basedOn w:val="DefaultParagraphFont"/>
    <w:rsid w:val="009D4B71"/>
  </w:style>
  <w:style w:type="paragraph" w:styleId="NormalWeb">
    <w:name w:val="Normal (Web)"/>
    <w:basedOn w:val="Normal"/>
    <w:uiPriority w:val="99"/>
    <w:semiHidden/>
    <w:unhideWhenUsed/>
    <w:rsid w:val="009D4B7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17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6F0"/>
    <w:pPr>
      <w:ind w:left="720"/>
      <w:contextualSpacing/>
    </w:pPr>
  </w:style>
  <w:style w:type="character" w:customStyle="1" w:styleId="doctitle">
    <w:name w:val="doctitle"/>
    <w:basedOn w:val="DefaultParagraphFont"/>
    <w:rsid w:val="009D4B71"/>
  </w:style>
  <w:style w:type="paragraph" w:styleId="NormalWeb">
    <w:name w:val="Normal (Web)"/>
    <w:basedOn w:val="Normal"/>
    <w:uiPriority w:val="99"/>
    <w:semiHidden/>
    <w:unhideWhenUsed/>
    <w:rsid w:val="009D4B7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857DA-054F-4054-893F-8A6BF8D4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Computer Services</cp:lastModifiedBy>
  <cp:revision>134</cp:revision>
  <dcterms:created xsi:type="dcterms:W3CDTF">2012-04-07T13:36:00Z</dcterms:created>
  <dcterms:modified xsi:type="dcterms:W3CDTF">2012-04-09T13:52:00Z</dcterms:modified>
</cp:coreProperties>
</file>