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A902190" w14:textId="77777777" w:rsidR="00304AC2" w:rsidRDefault="00304AC2">
      <w:pPr>
        <w:pStyle w:val="Title"/>
        <w:rPr>
          <w:b/>
          <w:bCs/>
          <w:sz w:val="28"/>
        </w:rPr>
      </w:pPr>
      <w:r>
        <w:rPr>
          <w:b/>
          <w:bCs/>
          <w:sz w:val="28"/>
        </w:rPr>
        <w:t>Peptic Ulcer Disease</w:t>
      </w:r>
    </w:p>
    <w:p w14:paraId="46646E13" w14:textId="77777777" w:rsidR="00304AC2" w:rsidRDefault="00714D36">
      <w:pPr>
        <w:pStyle w:val="Subtitle"/>
        <w:rPr>
          <w:sz w:val="24"/>
        </w:rPr>
      </w:pPr>
      <w:r>
        <w:rPr>
          <w:sz w:val="24"/>
        </w:rPr>
        <w:t>February 2013</w:t>
      </w:r>
    </w:p>
    <w:p w14:paraId="15DFA3CD" w14:textId="77777777" w:rsidR="00304AC2" w:rsidRDefault="00304AC2">
      <w:pPr>
        <w:pStyle w:val="Subtitle"/>
        <w:rPr>
          <w:sz w:val="24"/>
        </w:rPr>
      </w:pPr>
      <w:r>
        <w:rPr>
          <w:sz w:val="24"/>
        </w:rPr>
        <w:t>Temple University School of Pharmacy</w:t>
      </w:r>
    </w:p>
    <w:p w14:paraId="3F9B9B3B" w14:textId="77777777" w:rsidR="00304AC2" w:rsidRDefault="00304AC2">
      <w:pPr>
        <w:pStyle w:val="Heading1"/>
        <w:rPr>
          <w:sz w:val="24"/>
        </w:rPr>
      </w:pPr>
      <w:proofErr w:type="spellStart"/>
      <w:r>
        <w:rPr>
          <w:sz w:val="24"/>
        </w:rPr>
        <w:t>Talitha</w:t>
      </w:r>
      <w:proofErr w:type="spellEnd"/>
      <w:r>
        <w:rPr>
          <w:sz w:val="24"/>
        </w:rPr>
        <w:t xml:space="preserve"> L. </w:t>
      </w:r>
      <w:proofErr w:type="spellStart"/>
      <w:r>
        <w:rPr>
          <w:sz w:val="24"/>
        </w:rPr>
        <w:t>Pulvino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PharmD</w:t>
      </w:r>
      <w:proofErr w:type="spellEnd"/>
      <w:r>
        <w:rPr>
          <w:sz w:val="24"/>
        </w:rPr>
        <w:t>, BCPS</w:t>
      </w:r>
    </w:p>
    <w:p w14:paraId="4F9F0345" w14:textId="77777777" w:rsidR="00714D36" w:rsidRDefault="003000C8" w:rsidP="00714D36">
      <w:pPr>
        <w:jc w:val="center"/>
        <w:rPr>
          <w:rFonts w:ascii="Arial" w:hAnsi="Arial" w:cs="Arial"/>
        </w:rPr>
      </w:pPr>
      <w:hyperlink r:id="rId8" w:history="1">
        <w:r w:rsidR="00714D36" w:rsidRPr="00A61700">
          <w:rPr>
            <w:rStyle w:val="Hyperlink"/>
            <w:rFonts w:ascii="Arial" w:hAnsi="Arial" w:cs="Arial"/>
          </w:rPr>
          <w:t>talitha.pulvino@temple.edu</w:t>
        </w:r>
      </w:hyperlink>
    </w:p>
    <w:p w14:paraId="224D49EE" w14:textId="77777777" w:rsidR="00304AC2" w:rsidRDefault="00304AC2">
      <w:pPr>
        <w:rPr>
          <w:rFonts w:ascii="Arial" w:hAnsi="Arial" w:cs="Arial"/>
        </w:rPr>
      </w:pPr>
    </w:p>
    <w:p w14:paraId="0A19FD77" w14:textId="77777777" w:rsidR="00304AC2" w:rsidRDefault="00304AC2">
      <w:pPr>
        <w:rPr>
          <w:rFonts w:ascii="Arial" w:hAnsi="Arial" w:cs="Arial"/>
        </w:rPr>
      </w:pPr>
    </w:p>
    <w:p w14:paraId="221D7515" w14:textId="77777777" w:rsidR="00304AC2" w:rsidRDefault="00304AC2" w:rsidP="00714D36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Learning objectives</w:t>
      </w:r>
    </w:p>
    <w:p w14:paraId="5F21589B" w14:textId="77777777" w:rsidR="00304AC2" w:rsidRDefault="00112B6F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Discuss</w:t>
      </w:r>
      <w:r w:rsidR="00304AC2">
        <w:rPr>
          <w:rFonts w:ascii="Arial" w:hAnsi="Arial" w:cs="Arial"/>
          <w:bCs/>
          <w:sz w:val="22"/>
          <w:szCs w:val="22"/>
        </w:rPr>
        <w:t xml:space="preserve"> the pathophysiologic mechanisms involved with peptic ulcer disease</w:t>
      </w:r>
    </w:p>
    <w:p w14:paraId="1D511212" w14:textId="77777777" w:rsidR="00134C99" w:rsidRDefault="008B0480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 able to explain the process by which NSAIDs cause peptic ulcers</w:t>
      </w:r>
    </w:p>
    <w:p w14:paraId="4A2EF542" w14:textId="77777777" w:rsidR="00304AC2" w:rsidRDefault="00112B6F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Given a patient case, identify </w:t>
      </w:r>
      <w:r w:rsidR="00304AC2">
        <w:rPr>
          <w:rFonts w:ascii="Arial" w:hAnsi="Arial" w:cs="Arial"/>
          <w:bCs/>
          <w:sz w:val="22"/>
          <w:szCs w:val="22"/>
        </w:rPr>
        <w:t xml:space="preserve">risk factors associated with NSAID-induced ulcers </w:t>
      </w:r>
    </w:p>
    <w:p w14:paraId="0683D213" w14:textId="77777777" w:rsidR="008B0480" w:rsidRDefault="00304AC2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Briefly discuss the </w:t>
      </w:r>
      <w:r w:rsidR="008B0480">
        <w:rPr>
          <w:rFonts w:ascii="Arial" w:hAnsi="Arial" w:cs="Arial"/>
          <w:bCs/>
          <w:sz w:val="22"/>
          <w:szCs w:val="22"/>
        </w:rPr>
        <w:t>non-invasive diagnostic tests</w:t>
      </w:r>
      <w:r>
        <w:rPr>
          <w:rFonts w:ascii="Arial" w:hAnsi="Arial" w:cs="Arial"/>
          <w:bCs/>
          <w:sz w:val="22"/>
          <w:szCs w:val="22"/>
        </w:rPr>
        <w:t xml:space="preserve"> of Helicobacter pylori-associat</w:t>
      </w:r>
      <w:r w:rsidR="008B0480">
        <w:rPr>
          <w:rFonts w:ascii="Arial" w:hAnsi="Arial" w:cs="Arial"/>
          <w:bCs/>
          <w:sz w:val="22"/>
          <w:szCs w:val="22"/>
        </w:rPr>
        <w:t xml:space="preserve">ed ulcers  </w:t>
      </w:r>
    </w:p>
    <w:p w14:paraId="0A1EE85D" w14:textId="77777777" w:rsidR="00304AC2" w:rsidRDefault="008B0480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Given a patient case, recommend an appropriate</w:t>
      </w:r>
      <w:r w:rsidR="00304AC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Helicobacter pylori-associated ulcer eradication regimen and a test for </w:t>
      </w:r>
      <w:r w:rsidR="00926F73">
        <w:rPr>
          <w:rFonts w:ascii="Arial" w:hAnsi="Arial" w:cs="Arial"/>
          <w:bCs/>
          <w:sz w:val="22"/>
          <w:szCs w:val="22"/>
        </w:rPr>
        <w:t>eradication</w:t>
      </w:r>
    </w:p>
    <w:p w14:paraId="5EC4F9DF" w14:textId="77777777" w:rsidR="00304AC2" w:rsidRDefault="00304AC2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Recommend appropriate ulcer healing regimens</w:t>
      </w:r>
    </w:p>
    <w:p w14:paraId="45B2C1CB" w14:textId="77777777" w:rsidR="00304AC2" w:rsidRDefault="00304AC2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 patient-specific plans for primary and secondary prevention of NSAID-induced ulcers </w:t>
      </w:r>
    </w:p>
    <w:p w14:paraId="75C16428" w14:textId="77777777" w:rsidR="00112B6F" w:rsidRDefault="00112B6F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Given a patient case, be able to adjust H</w:t>
      </w:r>
      <w:r w:rsidRPr="00112B6F">
        <w:rPr>
          <w:rFonts w:ascii="Arial" w:hAnsi="Arial" w:cs="Arial"/>
          <w:bCs/>
          <w:sz w:val="22"/>
          <w:szCs w:val="22"/>
          <w:vertAlign w:val="subscript"/>
        </w:rPr>
        <w:t>2</w:t>
      </w:r>
      <w:r>
        <w:rPr>
          <w:rFonts w:ascii="Arial" w:hAnsi="Arial" w:cs="Arial"/>
          <w:bCs/>
          <w:sz w:val="22"/>
          <w:szCs w:val="22"/>
        </w:rPr>
        <w:t>-receptor antagonist do</w:t>
      </w:r>
      <w:r w:rsidR="00AC7C4F">
        <w:rPr>
          <w:rFonts w:ascii="Arial" w:hAnsi="Arial" w:cs="Arial"/>
          <w:bCs/>
          <w:sz w:val="22"/>
          <w:szCs w:val="22"/>
        </w:rPr>
        <w:t>se based on renal function</w:t>
      </w:r>
    </w:p>
    <w:p w14:paraId="172C4373" w14:textId="77777777" w:rsidR="0011216A" w:rsidRDefault="0011216A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Give an appropriate PPI regimen for the treatment of an acute GI bleed</w:t>
      </w:r>
    </w:p>
    <w:p w14:paraId="1824626E" w14:textId="77777777" w:rsidR="00304AC2" w:rsidRDefault="00212A28" w:rsidP="00714D36">
      <w:pPr>
        <w:numPr>
          <w:ilvl w:val="0"/>
          <w:numId w:val="37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Given </w:t>
      </w:r>
      <w:r w:rsidR="00112B6F">
        <w:rPr>
          <w:rFonts w:ascii="Arial" w:hAnsi="Arial" w:cs="Arial"/>
          <w:bCs/>
          <w:sz w:val="22"/>
          <w:szCs w:val="22"/>
        </w:rPr>
        <w:t xml:space="preserve">a </w:t>
      </w:r>
      <w:r>
        <w:rPr>
          <w:rFonts w:ascii="Arial" w:hAnsi="Arial" w:cs="Arial"/>
          <w:bCs/>
          <w:sz w:val="22"/>
          <w:szCs w:val="22"/>
        </w:rPr>
        <w:t>patient case</w:t>
      </w:r>
      <w:r w:rsidR="00112B6F">
        <w:rPr>
          <w:rFonts w:ascii="Arial" w:hAnsi="Arial" w:cs="Arial"/>
          <w:bCs/>
          <w:sz w:val="22"/>
          <w:szCs w:val="22"/>
        </w:rPr>
        <w:t xml:space="preserve">, determine </w:t>
      </w:r>
      <w:proofErr w:type="gramStart"/>
      <w:r w:rsidR="00112B6F">
        <w:rPr>
          <w:rFonts w:ascii="Arial" w:hAnsi="Arial" w:cs="Arial"/>
          <w:bCs/>
          <w:sz w:val="22"/>
          <w:szCs w:val="22"/>
        </w:rPr>
        <w:t>if  a</w:t>
      </w:r>
      <w:proofErr w:type="gramEnd"/>
      <w:r w:rsidR="00112B6F">
        <w:rPr>
          <w:rFonts w:ascii="Arial" w:hAnsi="Arial" w:cs="Arial"/>
          <w:bCs/>
          <w:sz w:val="22"/>
          <w:szCs w:val="22"/>
        </w:rPr>
        <w:t xml:space="preserve"> patient is a candidate</w:t>
      </w:r>
      <w:r w:rsidR="00304AC2">
        <w:rPr>
          <w:rFonts w:ascii="Arial" w:hAnsi="Arial" w:cs="Arial"/>
          <w:bCs/>
          <w:sz w:val="22"/>
          <w:szCs w:val="22"/>
        </w:rPr>
        <w:t xml:space="preserve"> </w:t>
      </w:r>
      <w:r w:rsidR="0011216A">
        <w:rPr>
          <w:rFonts w:ascii="Arial" w:hAnsi="Arial" w:cs="Arial"/>
          <w:bCs/>
          <w:sz w:val="22"/>
          <w:szCs w:val="22"/>
        </w:rPr>
        <w:t xml:space="preserve">for SRMD </w:t>
      </w:r>
      <w:r w:rsidR="00304AC2">
        <w:rPr>
          <w:rFonts w:ascii="Arial" w:hAnsi="Arial" w:cs="Arial"/>
          <w:bCs/>
          <w:sz w:val="22"/>
          <w:szCs w:val="22"/>
        </w:rPr>
        <w:t>prophylaxis</w:t>
      </w:r>
      <w:r w:rsidR="00112B6F">
        <w:rPr>
          <w:rFonts w:ascii="Arial" w:hAnsi="Arial" w:cs="Arial"/>
          <w:bCs/>
          <w:sz w:val="22"/>
          <w:szCs w:val="22"/>
        </w:rPr>
        <w:t xml:space="preserve"> and recommend appropriate therapy</w:t>
      </w:r>
    </w:p>
    <w:p w14:paraId="46E0CCA9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91839CD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716E2F1B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B122382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71E90013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12B4CE8B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3D6464DE" w14:textId="77777777" w:rsidR="00AC7C4F" w:rsidRDefault="00AC7C4F" w:rsidP="00AC7C4F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tbl>
      <w:tblPr>
        <w:tblpPr w:leftFromText="180" w:rightFromText="180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AC7C4F" w14:paraId="334DDEC2" w14:textId="77777777" w:rsidTr="00AC7C4F">
        <w:tc>
          <w:tcPr>
            <w:tcW w:w="8856" w:type="dxa"/>
          </w:tcPr>
          <w:p w14:paraId="4F7E5F3B" w14:textId="77777777" w:rsidR="00AC7C4F" w:rsidRDefault="00AC7C4F" w:rsidP="00AC7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Required textbook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reading :</w:t>
            </w:r>
            <w:proofErr w:type="gramEnd"/>
          </w:p>
          <w:p w14:paraId="3E183852" w14:textId="77777777" w:rsidR="00AC7C4F" w:rsidRDefault="00AC7C4F" w:rsidP="00AC7C4F">
            <w:pPr>
              <w:tabs>
                <w:tab w:val="left" w:pos="-800"/>
                <w:tab w:val="left" w:pos="0"/>
              </w:tabs>
              <w:ind w:firstLine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Pharmacotherapy:  A Pathophysiologic Approach (eds.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DiPiro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et.al. 8th Edition, 2011), chapter 40</w:t>
            </w:r>
          </w:p>
          <w:p w14:paraId="42356C1E" w14:textId="77777777" w:rsidR="00AC7C4F" w:rsidRDefault="00AC7C4F" w:rsidP="00AC7C4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19BEF" w14:textId="77777777" w:rsidR="00AC7C4F" w:rsidRDefault="00AC7C4F" w:rsidP="00AC7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Most recent treatment guidelines: </w:t>
            </w:r>
          </w:p>
          <w:p w14:paraId="0547DBEC" w14:textId="77777777" w:rsidR="00AC7C4F" w:rsidRDefault="00AC7C4F" w:rsidP="00AC7C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Chey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WD, Wong BCY, and the Practice Parameters Committee of American College of Gastroenterology. American College of Gastroenterology Guidelines on the Management of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Helicobacter pylori</w:t>
            </w:r>
            <w:r>
              <w:rPr>
                <w:rFonts w:ascii="Arial" w:hAnsi="Arial" w:cs="Arial"/>
                <w:sz w:val="16"/>
                <w:szCs w:val="16"/>
              </w:rPr>
              <w:t xml:space="preserve"> infection. Am J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Gastroenterol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2007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;102:1808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–1825.</w:t>
            </w:r>
          </w:p>
          <w:p w14:paraId="30CC93C6" w14:textId="77777777" w:rsidR="00AC7C4F" w:rsidRDefault="00AC7C4F" w:rsidP="00AC7C4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Lanza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FL,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Chan  FKL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, Quigley EMM, and the Practice Parameters Committee of the American College of Gastroenterology. Guidelines for the Prevention of NSAID-Related Ulcer Complications. Am J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Gastroenterol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2009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;104:728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-738.</w:t>
            </w:r>
          </w:p>
        </w:tc>
      </w:tr>
    </w:tbl>
    <w:p w14:paraId="4D678B6C" w14:textId="77777777" w:rsidR="00304AC2" w:rsidRDefault="00304AC2" w:rsidP="00714D36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Definitions: </w:t>
      </w:r>
    </w:p>
    <w:p w14:paraId="185C8B00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Peptic ulcer disease- disruption of mucosal integrity of the stomach and/or duodenum leading to a local defect or excavation due to active inflammation </w:t>
      </w:r>
    </w:p>
    <w:p w14:paraId="314D2D88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78D88C86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i/>
          <w:iCs/>
          <w:sz w:val="22"/>
        </w:rPr>
        <w:t>Helicobacter pylori (H. pylori</w:t>
      </w:r>
      <w:r w:rsidR="00242181">
        <w:rPr>
          <w:rFonts w:ascii="Arial" w:hAnsi="Arial" w:cs="Arial"/>
          <w:i/>
          <w:iCs/>
          <w:sz w:val="22"/>
        </w:rPr>
        <w:t>)</w:t>
      </w:r>
      <w:r w:rsidR="00242181">
        <w:rPr>
          <w:rFonts w:ascii="Arial" w:hAnsi="Arial" w:cs="Arial"/>
          <w:sz w:val="22"/>
        </w:rPr>
        <w:t xml:space="preserve"> -</w:t>
      </w:r>
      <w:r>
        <w:rPr>
          <w:rFonts w:ascii="Arial" w:hAnsi="Arial" w:cs="Arial"/>
          <w:sz w:val="22"/>
        </w:rPr>
        <w:t xml:space="preserve"> infectious bacteria that causes chronic gastritis in all infected individuals and is causally linked to PUD, gastric cancer, and mucosa-associated lymphoid tissue (MALT) lymphoma</w:t>
      </w:r>
    </w:p>
    <w:p w14:paraId="2693F3E2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14FFDAAE" w14:textId="77777777" w:rsidR="00304AC2" w:rsidRDefault="00304AC2" w:rsidP="001D130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Zollinger-Ellison Syndrome- rare disorder of gastric acid hypersecretion and recurrent peptic ulcers that result from a gastrin-producing tumor (gastrinoma)</w:t>
      </w:r>
    </w:p>
    <w:p w14:paraId="3674F3D1" w14:textId="77777777" w:rsidR="00304AC2" w:rsidRDefault="00304AC2">
      <w:pPr>
        <w:rPr>
          <w:rFonts w:ascii="Arial" w:hAnsi="Arial" w:cs="Arial"/>
          <w:sz w:val="22"/>
        </w:rPr>
      </w:pPr>
    </w:p>
    <w:p w14:paraId="3FBA7204" w14:textId="77777777" w:rsidR="001D1308" w:rsidRDefault="001D1308">
      <w:pPr>
        <w:rPr>
          <w:rFonts w:ascii="Arial" w:hAnsi="Arial" w:cs="Arial"/>
          <w:sz w:val="22"/>
        </w:rPr>
      </w:pPr>
    </w:p>
    <w:p w14:paraId="6EB4DC2A" w14:textId="77777777" w:rsidR="00304AC2" w:rsidRDefault="00304AC2" w:rsidP="00714D36">
      <w:p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Peptic Ulcers</w:t>
      </w:r>
    </w:p>
    <w:p w14:paraId="2B6F39DC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Ulcer</w:t>
      </w:r>
      <w:r>
        <w:rPr>
          <w:rFonts w:ascii="Arial" w:hAnsi="Arial" w:cs="Arial"/>
          <w:sz w:val="22"/>
        </w:rPr>
        <w:t>- break in the mucosal surface &gt;5 mm in s</w:t>
      </w:r>
      <w:r w:rsidR="006A6B79">
        <w:rPr>
          <w:rFonts w:ascii="Arial" w:hAnsi="Arial" w:cs="Arial"/>
          <w:sz w:val="22"/>
        </w:rPr>
        <w:t>ize with depth to the submucosa</w:t>
      </w:r>
    </w:p>
    <w:p w14:paraId="650B7779" w14:textId="77777777" w:rsidR="006635BA" w:rsidRDefault="006635BA" w:rsidP="006635BA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Gastric Ulcer (GU)</w:t>
      </w:r>
    </w:p>
    <w:p w14:paraId="03F352E6" w14:textId="77777777" w:rsidR="006635BA" w:rsidRDefault="006635BA" w:rsidP="006635BA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Occur later in life, peak incidence in 6</w:t>
      </w:r>
      <w:r>
        <w:rPr>
          <w:rFonts w:ascii="Arial" w:hAnsi="Arial" w:cs="Arial"/>
          <w:sz w:val="22"/>
          <w:vertAlign w:val="superscript"/>
        </w:rPr>
        <w:t>th</w:t>
      </w:r>
      <w:r>
        <w:rPr>
          <w:rFonts w:ascii="Arial" w:hAnsi="Arial" w:cs="Arial"/>
          <w:sz w:val="22"/>
        </w:rPr>
        <w:t xml:space="preserve"> decade</w:t>
      </w:r>
    </w:p>
    <w:p w14:paraId="28BFF149" w14:textId="77777777" w:rsidR="006635BA" w:rsidRDefault="006635BA" w:rsidP="006635BA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More than half occur in males</w:t>
      </w:r>
    </w:p>
    <w:p w14:paraId="66984C0B" w14:textId="77777777" w:rsidR="006635BA" w:rsidRDefault="006635BA" w:rsidP="006635BA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Gastric acid output tends to be normal or decreased </w:t>
      </w:r>
    </w:p>
    <w:p w14:paraId="7BAA299E" w14:textId="77777777" w:rsidR="006635BA" w:rsidRPr="001D1308" w:rsidRDefault="006635BA" w:rsidP="006635BA">
      <w:pPr>
        <w:spacing w:line="360" w:lineRule="auto"/>
        <w:ind w:left="1440"/>
        <w:rPr>
          <w:rFonts w:ascii="Arial" w:hAnsi="Arial" w:cs="Arial"/>
          <w:sz w:val="22"/>
        </w:rPr>
      </w:pPr>
    </w:p>
    <w:p w14:paraId="4A0B9A9E" w14:textId="77777777" w:rsidR="00304AC2" w:rsidRDefault="00304AC2" w:rsidP="00714D36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Duodenal ulcer (DU)</w:t>
      </w:r>
    </w:p>
    <w:p w14:paraId="3A3781EE" w14:textId="77777777" w:rsidR="00304AC2" w:rsidRDefault="00304AC2" w:rsidP="00714D36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Death rates, need for surgery, and physicians visits have decreased </w:t>
      </w:r>
      <w:r w:rsidR="001D1308">
        <w:rPr>
          <w:rFonts w:ascii="Arial" w:hAnsi="Arial" w:cs="Arial"/>
          <w:sz w:val="22"/>
        </w:rPr>
        <w:t>by   &gt; 50% in the past 30 yrs</w:t>
      </w:r>
    </w:p>
    <w:p w14:paraId="7E805BD4" w14:textId="77777777" w:rsidR="00304AC2" w:rsidRDefault="00304AC2" w:rsidP="00714D36">
      <w:pPr>
        <w:numPr>
          <w:ilvl w:val="1"/>
          <w:numId w:val="10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Gastric acid secretion tends to be increased</w:t>
      </w:r>
    </w:p>
    <w:p w14:paraId="1D4FC216" w14:textId="77777777" w:rsidR="001D1308" w:rsidRDefault="001D1308" w:rsidP="006635BA">
      <w:pPr>
        <w:spacing w:line="360" w:lineRule="auto"/>
        <w:rPr>
          <w:rFonts w:ascii="Arial" w:hAnsi="Arial" w:cs="Arial"/>
          <w:sz w:val="22"/>
        </w:rPr>
      </w:pPr>
    </w:p>
    <w:p w14:paraId="17D59964" w14:textId="77777777" w:rsidR="00304AC2" w:rsidRDefault="001D1308" w:rsidP="001D1308">
      <w:pPr>
        <w:spacing w:line="36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05614EB" wp14:editId="316D7A9A">
            <wp:extent cx="3489284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ptic ulcer dx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8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B2B" w14:textId="77777777" w:rsidR="001D1308" w:rsidRDefault="001D1308" w:rsidP="001D1308">
      <w:pPr>
        <w:pStyle w:val="Heading2"/>
        <w:spacing w:line="360" w:lineRule="auto"/>
        <w:rPr>
          <w:sz w:val="22"/>
        </w:rPr>
      </w:pPr>
      <w:r>
        <w:rPr>
          <w:sz w:val="22"/>
        </w:rPr>
        <w:t>Epidemiology</w:t>
      </w:r>
    </w:p>
    <w:p w14:paraId="20D2B984" w14:textId="77777777" w:rsidR="001D1308" w:rsidRDefault="001D1308" w:rsidP="001D1308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Lifetime prevalence is about 12% in men, 10% in women</w:t>
      </w:r>
    </w:p>
    <w:p w14:paraId="4F23D166" w14:textId="77777777" w:rsidR="001D1308" w:rsidRPr="00AC7C4F" w:rsidRDefault="001D1308" w:rsidP="001D1308">
      <w:pPr>
        <w:numPr>
          <w:ilvl w:val="1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Recently rates declining for younger men, increasing rate for older women</w:t>
      </w:r>
    </w:p>
    <w:p w14:paraId="2C2504BB" w14:textId="77777777" w:rsidR="001D1308" w:rsidRPr="00AC7C4F" w:rsidRDefault="001D1308" w:rsidP="001D1308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15,000 deaths/year secondary to PUD</w:t>
      </w:r>
    </w:p>
    <w:p w14:paraId="23334923" w14:textId="77777777" w:rsidR="001D1308" w:rsidRDefault="001D1308" w:rsidP="001D1308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Hospitalizations of older adults for ulcer-related complications (bleeding and perforation) have increased</w:t>
      </w:r>
    </w:p>
    <w:p w14:paraId="018976F8" w14:textId="77777777" w:rsidR="001D1308" w:rsidRDefault="001D1308" w:rsidP="00714D36">
      <w:pPr>
        <w:pStyle w:val="Heading2"/>
        <w:spacing w:line="360" w:lineRule="auto"/>
        <w:rPr>
          <w:sz w:val="22"/>
        </w:rPr>
      </w:pPr>
    </w:p>
    <w:p w14:paraId="11A5C4DD" w14:textId="77777777" w:rsidR="001D1308" w:rsidRDefault="001D1308" w:rsidP="00714D36">
      <w:pPr>
        <w:pStyle w:val="Heading2"/>
        <w:spacing w:line="360" w:lineRule="auto"/>
        <w:rPr>
          <w:sz w:val="22"/>
        </w:rPr>
      </w:pPr>
    </w:p>
    <w:p w14:paraId="1F7E11AE" w14:textId="77777777" w:rsidR="00304AC2" w:rsidRPr="001D1308" w:rsidRDefault="00304AC2" w:rsidP="001D1308">
      <w:pPr>
        <w:pStyle w:val="Heading2"/>
        <w:spacing w:line="360" w:lineRule="auto"/>
        <w:rPr>
          <w:sz w:val="22"/>
        </w:rPr>
      </w:pPr>
      <w:r>
        <w:rPr>
          <w:sz w:val="22"/>
        </w:rPr>
        <w:t>Pathophysiology</w:t>
      </w:r>
    </w:p>
    <w:p w14:paraId="4278F273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Protective factors:</w:t>
      </w:r>
      <w:r w:rsidR="00B74C7F">
        <w:rPr>
          <w:rFonts w:ascii="Arial" w:hAnsi="Arial" w:cs="Arial"/>
          <w:sz w:val="22"/>
        </w:rPr>
        <w:t xml:space="preserve"> Gastroduodenal mucosal defense</w:t>
      </w:r>
    </w:p>
    <w:p w14:paraId="34FA0ABF" w14:textId="77777777" w:rsidR="00304AC2" w:rsidRDefault="00304AC2" w:rsidP="00714D36">
      <w:pPr>
        <w:numPr>
          <w:ilvl w:val="0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Pre-epithelial- first line of defense</w:t>
      </w:r>
    </w:p>
    <w:p w14:paraId="777AFED3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Mucus</w:t>
      </w:r>
    </w:p>
    <w:p w14:paraId="448EE2C2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Bicarbonate</w:t>
      </w:r>
    </w:p>
    <w:p w14:paraId="389DFAED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Surface active phospholipids</w:t>
      </w:r>
    </w:p>
    <w:p w14:paraId="1FB036C2" w14:textId="77777777" w:rsidR="00304AC2" w:rsidRDefault="00304AC2" w:rsidP="00714D36">
      <w:pPr>
        <w:spacing w:line="360" w:lineRule="auto"/>
        <w:ind w:left="1440"/>
        <w:rPr>
          <w:rFonts w:ascii="Arial" w:hAnsi="Arial" w:cs="Arial"/>
          <w:sz w:val="22"/>
        </w:rPr>
      </w:pPr>
    </w:p>
    <w:p w14:paraId="46317017" w14:textId="77777777" w:rsidR="00304AC2" w:rsidRDefault="00304AC2" w:rsidP="00714D36">
      <w:pPr>
        <w:numPr>
          <w:ilvl w:val="0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Epithelial</w:t>
      </w:r>
    </w:p>
    <w:p w14:paraId="71A6045C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Cellular resistance</w:t>
      </w:r>
    </w:p>
    <w:p w14:paraId="09022DBE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Restitution</w:t>
      </w:r>
    </w:p>
    <w:p w14:paraId="33A1904A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Growth factors, prostaglandins</w:t>
      </w:r>
    </w:p>
    <w:p w14:paraId="58293E8C" w14:textId="77777777" w:rsidR="00304AC2" w:rsidRDefault="00304AC2" w:rsidP="00714D36">
      <w:pPr>
        <w:numPr>
          <w:ilvl w:val="1"/>
          <w:numId w:val="2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Cell proliferation</w:t>
      </w:r>
    </w:p>
    <w:p w14:paraId="41516EA1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6C0DF44C" w14:textId="77777777" w:rsidR="00304AC2" w:rsidRDefault="00304AC2" w:rsidP="00714D36">
      <w:pPr>
        <w:numPr>
          <w:ilvl w:val="0"/>
          <w:numId w:val="2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Subepithelial</w:t>
      </w:r>
    </w:p>
    <w:p w14:paraId="6E61F155" w14:textId="77777777" w:rsidR="00304AC2" w:rsidRDefault="00304AC2" w:rsidP="00714D36">
      <w:pPr>
        <w:numPr>
          <w:ilvl w:val="1"/>
          <w:numId w:val="2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Blood flow</w:t>
      </w:r>
    </w:p>
    <w:p w14:paraId="3E742F1C" w14:textId="77777777" w:rsidR="00304AC2" w:rsidRDefault="00304AC2" w:rsidP="00714D36">
      <w:pPr>
        <w:numPr>
          <w:ilvl w:val="1"/>
          <w:numId w:val="2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Leukocyte</w:t>
      </w:r>
    </w:p>
    <w:p w14:paraId="0A4007F0" w14:textId="77777777" w:rsidR="00304AC2" w:rsidRDefault="003000C8" w:rsidP="00714D36">
      <w:pPr>
        <w:spacing w:line="360" w:lineRule="auto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b/>
          <w:noProof/>
          <w:sz w:val="22"/>
        </w:rPr>
        <w:pict w14:anchorId="50052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30" type="#_x0000_t75" style="position:absolute;left:0;text-align:left;margin-left:92.85pt;margin-top:3pt;width:270pt;height:161.3pt;z-index:251657728">
            <v:fill o:detectmouseclick="t"/>
            <v:stroke o:forcedash="t"/>
            <v:imagedata r:id="rId10" o:title=""/>
          </v:shape>
        </w:pict>
      </w:r>
    </w:p>
    <w:p w14:paraId="557D2F98" w14:textId="77777777" w:rsidR="00304AC2" w:rsidRDefault="00304AC2" w:rsidP="00714D36">
      <w:pPr>
        <w:spacing w:line="360" w:lineRule="auto"/>
        <w:ind w:left="1440"/>
        <w:rPr>
          <w:rFonts w:ascii="Arial" w:hAnsi="Arial" w:cs="Arial"/>
          <w:sz w:val="22"/>
        </w:rPr>
      </w:pPr>
    </w:p>
    <w:p w14:paraId="3E97B6E8" w14:textId="77777777" w:rsidR="00304AC2" w:rsidRDefault="00B74C7F" w:rsidP="00714D36">
      <w:pPr>
        <w:spacing w:line="36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1257974" wp14:editId="45B13E9E">
            <wp:extent cx="5486400" cy="3200400"/>
            <wp:effectExtent l="0" t="0" r="2540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3B5B6B">
        <w:rPr>
          <w:rFonts w:ascii="Arial" w:hAnsi="Arial" w:cs="Arial"/>
          <w:sz w:val="22"/>
        </w:rPr>
        <w:t xml:space="preserve"> </w:t>
      </w:r>
    </w:p>
    <w:p w14:paraId="5D50B035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7B84B77E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2D805F9A" w14:textId="77777777" w:rsidR="00304AC2" w:rsidRDefault="00304AC2" w:rsidP="00714D36">
      <w:pPr>
        <w:pStyle w:val="Heading3"/>
        <w:spacing w:line="360" w:lineRule="auto"/>
      </w:pPr>
      <w:r>
        <w:t xml:space="preserve">Ulcer Etiology </w:t>
      </w:r>
    </w:p>
    <w:p w14:paraId="30E0501E" w14:textId="77777777" w:rsidR="00304AC2" w:rsidRPr="006635BA" w:rsidRDefault="00304AC2" w:rsidP="00714D36">
      <w:pPr>
        <w:pStyle w:val="tabletitle"/>
        <w:numPr>
          <w:ilvl w:val="0"/>
          <w:numId w:val="5"/>
        </w:numPr>
        <w:spacing w:before="0" w:beforeAutospacing="0" w:after="0" w:afterAutospacing="0" w:line="360" w:lineRule="auto"/>
        <w:ind w:left="360"/>
        <w:rPr>
          <w:rFonts w:ascii="Arial" w:hAnsi="Arial" w:cs="Arial"/>
          <w:i/>
          <w:iCs/>
          <w:sz w:val="22"/>
          <w:u w:val="single"/>
        </w:rPr>
      </w:pPr>
      <w:r w:rsidRPr="006635BA">
        <w:rPr>
          <w:rFonts w:ascii="Arial" w:eastAsia="Times New Roman" w:hAnsi="Arial" w:cs="Arial"/>
          <w:i/>
          <w:iCs/>
          <w:sz w:val="22"/>
          <w:u w:val="single"/>
        </w:rPr>
        <w:t>H. Pylori</w:t>
      </w:r>
      <w:r w:rsidR="006635BA">
        <w:rPr>
          <w:rFonts w:ascii="Arial" w:eastAsia="Times New Roman" w:hAnsi="Arial" w:cs="Arial"/>
          <w:iCs/>
          <w:sz w:val="22"/>
        </w:rPr>
        <w:t xml:space="preserve">- </w:t>
      </w:r>
      <w:r w:rsidRPr="006635BA">
        <w:rPr>
          <w:rFonts w:ascii="Arial" w:eastAsia="Times New Roman" w:hAnsi="Arial" w:cs="Arial"/>
          <w:iCs/>
          <w:sz w:val="22"/>
        </w:rPr>
        <w:t>Definition:</w:t>
      </w:r>
      <w:r w:rsidR="006635BA" w:rsidRPr="006635BA">
        <w:rPr>
          <w:rFonts w:ascii="Arial" w:eastAsia="Times New Roman" w:hAnsi="Arial" w:cs="Arial"/>
          <w:iCs/>
          <w:sz w:val="22"/>
        </w:rPr>
        <w:t xml:space="preserve"> infectious bacteria that causes gastritis; linked to PUD, gastric cancer, and mucosa-associated lymphoid tissue (MALT) lymphoma</w:t>
      </w:r>
    </w:p>
    <w:p w14:paraId="286E5914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Gram negative rod</w:t>
      </w:r>
    </w:p>
    <w:p w14:paraId="2C5C275D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Multiple strains exists</w:t>
      </w:r>
    </w:p>
    <w:p w14:paraId="665EDF1E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Believed to be transmitted from person to person; probably fecal to oral route</w:t>
      </w:r>
    </w:p>
    <w:p w14:paraId="60A274E9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More common in older population</w:t>
      </w:r>
    </w:p>
    <w:p w14:paraId="536C07E1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Higher prevalence in persons of lower socioeconomic status and people with less education</w:t>
      </w:r>
    </w:p>
    <w:p w14:paraId="72771887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Almost always associated with chronic active gastritis</w:t>
      </w:r>
    </w:p>
    <w:p w14:paraId="5DF4F26B" w14:textId="77777777" w:rsidR="00304AC2" w:rsidRDefault="00304AC2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H. </w:t>
      </w:r>
      <w:proofErr w:type="gramStart"/>
      <w:r>
        <w:rPr>
          <w:rFonts w:ascii="Arial" w:hAnsi="Arial" w:cs="Arial"/>
          <w:sz w:val="22"/>
        </w:rPr>
        <w:t>pylori</w:t>
      </w:r>
      <w:proofErr w:type="gramEnd"/>
      <w:r>
        <w:rPr>
          <w:rFonts w:ascii="Arial" w:hAnsi="Arial" w:cs="Arial"/>
          <w:sz w:val="22"/>
        </w:rPr>
        <w:t xml:space="preserve"> is present in 30-60% of patients with GU, 50-70% of patients with DU</w:t>
      </w:r>
    </w:p>
    <w:p w14:paraId="1904EAFC" w14:textId="1A578C41" w:rsidR="004E7DF3" w:rsidRDefault="004E7DF3" w:rsidP="00714D36">
      <w:pPr>
        <w:pStyle w:val="tabletitle"/>
        <w:numPr>
          <w:ilvl w:val="1"/>
          <w:numId w:val="5"/>
        </w:numPr>
        <w:spacing w:before="0" w:beforeAutospacing="0" w:after="0" w:afterAutospacing="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 </w:t>
      </w:r>
      <w:proofErr w:type="gramStart"/>
      <w:r>
        <w:rPr>
          <w:rFonts w:ascii="Arial" w:hAnsi="Arial" w:cs="Arial"/>
          <w:sz w:val="22"/>
        </w:rPr>
        <w:t>pylori has</w:t>
      </w:r>
      <w:proofErr w:type="gramEnd"/>
      <w:r>
        <w:rPr>
          <w:rFonts w:ascii="Arial" w:hAnsi="Arial" w:cs="Arial"/>
          <w:sz w:val="22"/>
        </w:rPr>
        <w:t xml:space="preserve"> enzyme “urease”. Digests urea into ammonia and CO2. Ammonia acts as buffer, and allows the h pylori to survive in acidic </w:t>
      </w:r>
      <w:r w:rsidR="00895CCC">
        <w:rPr>
          <w:rFonts w:ascii="Arial" w:hAnsi="Arial" w:cs="Arial"/>
          <w:sz w:val="22"/>
        </w:rPr>
        <w:t>environment</w:t>
      </w:r>
    </w:p>
    <w:p w14:paraId="6CB77F8A" w14:textId="77777777" w:rsidR="00304AC2" w:rsidRDefault="00304AC2" w:rsidP="00714D36">
      <w:pPr>
        <w:pStyle w:val="tabletitle"/>
        <w:spacing w:before="0" w:beforeAutospacing="0" w:after="0" w:afterAutospacing="0" w:line="360" w:lineRule="auto"/>
        <w:ind w:left="1440"/>
        <w:rPr>
          <w:rFonts w:ascii="Arial" w:hAnsi="Arial" w:cs="Arial"/>
          <w:sz w:val="22"/>
        </w:rPr>
      </w:pPr>
    </w:p>
    <w:p w14:paraId="56A4C199" w14:textId="77777777" w:rsidR="00304AC2" w:rsidRDefault="00304AC2" w:rsidP="00714D36">
      <w:pPr>
        <w:pStyle w:val="tabletitle"/>
        <w:spacing w:before="0" w:beforeAutospacing="0" w:after="0" w:afterAutospacing="0" w:line="360" w:lineRule="auto"/>
        <w:ind w:left="1440"/>
        <w:rPr>
          <w:rFonts w:ascii="Arial" w:hAnsi="Arial" w:cs="Arial"/>
          <w:sz w:val="22"/>
        </w:rPr>
      </w:pPr>
    </w:p>
    <w:p w14:paraId="09A3FD27" w14:textId="77777777" w:rsidR="006635BA" w:rsidRDefault="006635BA" w:rsidP="00714D36">
      <w:pPr>
        <w:pStyle w:val="tabletitle"/>
        <w:spacing w:before="0" w:beforeAutospacing="0" w:after="0" w:afterAutospacing="0" w:line="360" w:lineRule="auto"/>
        <w:ind w:left="1440"/>
        <w:rPr>
          <w:rFonts w:ascii="Arial" w:hAnsi="Arial" w:cs="Arial"/>
          <w:sz w:val="22"/>
        </w:rPr>
      </w:pPr>
    </w:p>
    <w:p w14:paraId="73336A3A" w14:textId="77777777" w:rsidR="006635BA" w:rsidRDefault="006635BA" w:rsidP="00714D36">
      <w:pPr>
        <w:pStyle w:val="tabletitle"/>
        <w:spacing w:before="0" w:beforeAutospacing="0" w:after="0" w:afterAutospacing="0" w:line="360" w:lineRule="auto"/>
        <w:ind w:left="1440"/>
        <w:rPr>
          <w:rFonts w:ascii="Arial" w:hAnsi="Arial" w:cs="Arial"/>
          <w:sz w:val="22"/>
        </w:rPr>
      </w:pPr>
    </w:p>
    <w:p w14:paraId="167F2198" w14:textId="77777777" w:rsidR="006635BA" w:rsidRDefault="006635BA" w:rsidP="00714D36">
      <w:pPr>
        <w:pStyle w:val="tabletitle"/>
        <w:spacing w:before="0" w:beforeAutospacing="0" w:after="0" w:afterAutospacing="0" w:line="360" w:lineRule="auto"/>
        <w:ind w:left="1440"/>
        <w:rPr>
          <w:rFonts w:ascii="Arial" w:hAnsi="Arial" w:cs="Arial"/>
          <w:sz w:val="22"/>
        </w:rPr>
      </w:pPr>
    </w:p>
    <w:p w14:paraId="263874B3" w14:textId="77777777" w:rsidR="00304AC2" w:rsidRPr="006635BA" w:rsidRDefault="00304AC2" w:rsidP="006635BA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NSAID induced ulcers</w:t>
      </w:r>
    </w:p>
    <w:p w14:paraId="5EE1BE82" w14:textId="77777777" w:rsidR="00304AC2" w:rsidRDefault="00304AC2" w:rsidP="00714D36">
      <w:pPr>
        <w:numPr>
          <w:ilvl w:val="1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NSAIDs have an inhibitory effect on cyclo-oxygenase COX-1, decreasing the production of prostaglandins and cause direct injury to the mucosa</w:t>
      </w:r>
    </w:p>
    <w:p w14:paraId="15566602" w14:textId="77777777" w:rsidR="00304AC2" w:rsidRDefault="00304AC2" w:rsidP="00714D36">
      <w:pPr>
        <w:numPr>
          <w:ilvl w:val="1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Effects are systemic and local</w:t>
      </w:r>
    </w:p>
    <w:p w14:paraId="2E9419F8" w14:textId="77777777" w:rsidR="00304AC2" w:rsidRDefault="00F07EAB" w:rsidP="00714D36">
      <w:pPr>
        <w:numPr>
          <w:ilvl w:val="2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Prostaglandins are a group of fatty acids that </w:t>
      </w:r>
      <w:r w:rsidR="00226FCA">
        <w:rPr>
          <w:rFonts w:ascii="Arial" w:hAnsi="Arial" w:cs="Arial"/>
          <w:sz w:val="22"/>
        </w:rPr>
        <w:t>contribute to:</w:t>
      </w:r>
    </w:p>
    <w:p w14:paraId="02B4FE43" w14:textId="77777777" w:rsidR="00F07EAB" w:rsidRDefault="00226FCA" w:rsidP="00226FCA">
      <w:pPr>
        <w:numPr>
          <w:ilvl w:val="3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Mucosal defense</w:t>
      </w:r>
    </w:p>
    <w:p w14:paraId="748B0888" w14:textId="77777777" w:rsidR="00226FCA" w:rsidRDefault="00226FCA" w:rsidP="00226FCA">
      <w:pPr>
        <w:numPr>
          <w:ilvl w:val="3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Platelet aggregation</w:t>
      </w:r>
    </w:p>
    <w:p w14:paraId="14D35275" w14:textId="77777777" w:rsidR="00226FCA" w:rsidRDefault="00226FCA" w:rsidP="00226FCA">
      <w:pPr>
        <w:numPr>
          <w:ilvl w:val="3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Gastric blood flow</w:t>
      </w:r>
    </w:p>
    <w:p w14:paraId="0A0EFF17" w14:textId="77777777" w:rsidR="001D4F13" w:rsidRPr="001D4F13" w:rsidRDefault="00226FCA" w:rsidP="001D4F13">
      <w:pPr>
        <w:numPr>
          <w:ilvl w:val="3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Reduction of acid output</w:t>
      </w:r>
    </w:p>
    <w:p w14:paraId="7C5CCBC0" w14:textId="77777777" w:rsidR="00304AC2" w:rsidRDefault="00304AC2" w:rsidP="00714D36">
      <w:pPr>
        <w:numPr>
          <w:ilvl w:val="2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Beneficial effects of NSAIDS on tissue inflammation are due to inhibition of COX-2. Toxicity of these drugs (GI ulceration) is related to inhibition of COX-1</w:t>
      </w:r>
    </w:p>
    <w:p w14:paraId="0F018003" w14:textId="77777777" w:rsidR="00460DC3" w:rsidRPr="001D4F13" w:rsidRDefault="00460DC3" w:rsidP="00460DC3">
      <w:pPr>
        <w:spacing w:line="360" w:lineRule="auto"/>
        <w:ind w:left="2160"/>
        <w:rPr>
          <w:rFonts w:ascii="Arial" w:hAnsi="Arial" w:cs="Arial"/>
          <w:sz w:val="22"/>
        </w:rPr>
      </w:pPr>
    </w:p>
    <w:p w14:paraId="47989EEC" w14:textId="77777777" w:rsidR="00304AC2" w:rsidRDefault="00304AC2" w:rsidP="00714D36">
      <w:pPr>
        <w:numPr>
          <w:ilvl w:val="1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Incidenc</w:t>
      </w:r>
      <w:r w:rsidR="00460DC3">
        <w:rPr>
          <w:rFonts w:ascii="Arial" w:hAnsi="Arial" w:cs="Arial"/>
          <w:sz w:val="22"/>
        </w:rPr>
        <w:t>e of ulcers in NSAID users is up to</w:t>
      </w:r>
      <w:r>
        <w:rPr>
          <w:rFonts w:ascii="Arial" w:hAnsi="Arial" w:cs="Arial"/>
          <w:sz w:val="22"/>
        </w:rPr>
        <w:t xml:space="preserve"> 15-30%</w:t>
      </w:r>
    </w:p>
    <w:p w14:paraId="4515A78A" w14:textId="77777777" w:rsidR="00304AC2" w:rsidRDefault="00304AC2" w:rsidP="00714D36">
      <w:pPr>
        <w:tabs>
          <w:tab w:val="left" w:pos="183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AC930DF" w14:textId="77777777" w:rsidR="00304AC2" w:rsidRDefault="00304AC2" w:rsidP="00714D36">
      <w:pPr>
        <w:tabs>
          <w:tab w:val="left" w:pos="1830"/>
        </w:tabs>
        <w:spacing w:line="360" w:lineRule="auto"/>
        <w:rPr>
          <w:rFonts w:ascii="Arial" w:hAnsi="Arial" w:cs="Arial"/>
          <w:sz w:val="22"/>
        </w:rPr>
      </w:pPr>
    </w:p>
    <w:p w14:paraId="4364CFC0" w14:textId="422B3F63" w:rsidR="00304AC2" w:rsidRDefault="001A28CE" w:rsidP="00714D36">
      <w:pPr>
        <w:tabs>
          <w:tab w:val="left" w:pos="1830"/>
        </w:tabs>
        <w:spacing w:line="360" w:lineRule="auto"/>
        <w:rPr>
          <w:rFonts w:ascii="Arial" w:hAnsi="Arial" w:cs="Arial"/>
          <w:sz w:val="22"/>
          <w:u w:val="single"/>
        </w:rPr>
      </w:pPr>
      <w:r w:rsidRPr="001A28CE">
        <w:rPr>
          <w:rFonts w:ascii="Arial" w:hAnsi="Arial" w:cs="Arial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BC0765" wp14:editId="377478EC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104900" cy="260985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B2DF" w14:textId="77777777" w:rsidR="00A70671" w:rsidRPr="0073736F" w:rsidRDefault="00A70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3736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More toxic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7pt;width:87pt;height:2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">
                <v:textbox style="mso-fit-shape-to-text:t">
                  <w:txbxContent>
                    <w:p w14:paraId="7644B2DF" w14:textId="77777777" w:rsidR="001A28CE" w:rsidRPr="0073736F" w:rsidRDefault="001A28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3736F">
                        <w:rPr>
                          <w:rFonts w:ascii="Arial" w:hAnsi="Arial" w:cs="Arial"/>
                          <w:sz w:val="22"/>
                          <w:szCs w:val="22"/>
                        </w:rPr>
                        <w:t>More toxic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2"/>
          <w:u w:val="single"/>
        </w:rPr>
        <w:t xml:space="preserve">GI </w:t>
      </w:r>
      <w:r w:rsidR="00304AC2">
        <w:rPr>
          <w:rFonts w:ascii="Arial" w:hAnsi="Arial" w:cs="Arial"/>
          <w:sz w:val="22"/>
          <w:u w:val="single"/>
        </w:rPr>
        <w:t>Toxicity of NSAIDs</w:t>
      </w:r>
      <w:r w:rsidR="00825FB7">
        <w:rPr>
          <w:rFonts w:ascii="Arial" w:hAnsi="Arial" w:cs="Arial"/>
          <w:sz w:val="22"/>
          <w:u w:val="single"/>
        </w:rPr>
        <w:t xml:space="preserve"> (also include ASA)</w:t>
      </w:r>
    </w:p>
    <w:p w14:paraId="0D82D298" w14:textId="77777777" w:rsidR="00304AC2" w:rsidRDefault="001A28CE" w:rsidP="00714D36">
      <w:pPr>
        <w:tabs>
          <w:tab w:val="left" w:pos="1830"/>
        </w:tabs>
        <w:spacing w:line="360" w:lineRule="auto"/>
        <w:rPr>
          <w:rFonts w:ascii="Arial" w:hAnsi="Arial" w:cs="Arial"/>
          <w:sz w:val="22"/>
        </w:rPr>
      </w:pPr>
      <w:r w:rsidRPr="001A28CE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4FB74D" wp14:editId="2F37B5FA">
                <wp:simplePos x="0" y="0"/>
                <wp:positionH relativeFrom="column">
                  <wp:posOffset>4371975</wp:posOffset>
                </wp:positionH>
                <wp:positionV relativeFrom="paragraph">
                  <wp:posOffset>635</wp:posOffset>
                </wp:positionV>
                <wp:extent cx="904875" cy="260985"/>
                <wp:effectExtent l="0" t="0" r="28575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F83A" w14:textId="77777777" w:rsidR="00A70671" w:rsidRPr="0073736F" w:rsidRDefault="00A7067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3736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Less toxic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4.25pt;margin-top:.05pt;width:71.25pt;height:2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">
                <v:textbox style="mso-fit-shape-to-text:t">
                  <w:txbxContent>
                    <w:p w14:paraId="3F86F83A" w14:textId="77777777" w:rsidR="001A28CE" w:rsidRPr="0073736F" w:rsidRDefault="001A28C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3736F">
                        <w:rPr>
                          <w:rFonts w:ascii="Arial" w:hAnsi="Arial" w:cs="Arial"/>
                          <w:sz w:val="22"/>
                          <w:szCs w:val="22"/>
                        </w:rPr>
                        <w:t>Less toxic</w:t>
                      </w:r>
                    </w:p>
                  </w:txbxContent>
                </v:textbox>
              </v:shape>
            </w:pict>
          </mc:Fallback>
        </mc:AlternateContent>
      </w:r>
    </w:p>
    <w:p w14:paraId="6ED5BC86" w14:textId="77777777" w:rsidR="001A28CE" w:rsidRDefault="001A28CE" w:rsidP="00714D36">
      <w:pPr>
        <w:tabs>
          <w:tab w:val="left" w:pos="183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74D09B9" wp14:editId="0D3BAF73">
            <wp:extent cx="5486400" cy="1066800"/>
            <wp:effectExtent l="0" t="0" r="508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0CFD414" w14:textId="77777777" w:rsidR="00265ED6" w:rsidRDefault="00265E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18AE606F" w14:textId="65762755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NSAID- induced ulcers: Risk factors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8"/>
        <w:gridCol w:w="2988"/>
      </w:tblGrid>
      <w:tr w:rsidR="00304AC2" w14:paraId="5A0838B0" w14:textId="77777777">
        <w:tc>
          <w:tcPr>
            <w:tcW w:w="5868" w:type="dxa"/>
          </w:tcPr>
          <w:p w14:paraId="74B6509F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Established Risk Factors </w:t>
            </w:r>
          </w:p>
        </w:tc>
        <w:tc>
          <w:tcPr>
            <w:tcW w:w="2988" w:type="dxa"/>
          </w:tcPr>
          <w:p w14:paraId="113FDCD9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Potential Risk Factors</w:t>
            </w:r>
          </w:p>
        </w:tc>
      </w:tr>
      <w:tr w:rsidR="00304AC2" w14:paraId="17BC2682" w14:textId="77777777">
        <w:tc>
          <w:tcPr>
            <w:tcW w:w="5868" w:type="dxa"/>
          </w:tcPr>
          <w:p w14:paraId="08739933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Age &gt;60 </w:t>
            </w:r>
            <w:proofErr w:type="spellStart"/>
            <w:r>
              <w:rPr>
                <w:rFonts w:ascii="Arial" w:hAnsi="Arial" w:cs="Arial"/>
                <w:sz w:val="22"/>
              </w:rPr>
              <w:t>y.o</w:t>
            </w:r>
            <w:proofErr w:type="spellEnd"/>
            <w:r>
              <w:rPr>
                <w:rFonts w:ascii="Arial" w:hAnsi="Arial" w:cs="Arial"/>
                <w:sz w:val="22"/>
              </w:rPr>
              <w:t>.</w:t>
            </w:r>
          </w:p>
          <w:p w14:paraId="55C8E429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Previous peptic ulcer</w:t>
            </w:r>
          </w:p>
          <w:p w14:paraId="16E5E04C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Previous ulcer- related upper-GI complication</w:t>
            </w:r>
          </w:p>
          <w:p w14:paraId="0BDA9090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Chronic illness </w:t>
            </w:r>
          </w:p>
          <w:p w14:paraId="5AE8ACB1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High-dose NSAID</w:t>
            </w:r>
          </w:p>
          <w:p w14:paraId="2B35EDF9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NSAID + ASA</w:t>
            </w:r>
          </w:p>
          <w:p w14:paraId="4EF743F8" w14:textId="346A1A0D" w:rsidR="00304AC2" w:rsidRDefault="00304AC2" w:rsidP="00265ED6">
            <w:pPr>
              <w:spacing w:line="48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NSAID + concomitant medication</w:t>
            </w:r>
            <w:r w:rsidR="00265ED6">
              <w:rPr>
                <w:rFonts w:ascii="Arial" w:hAnsi="Arial" w:cs="Arial"/>
                <w:sz w:val="22"/>
              </w:rPr>
              <w:t xml:space="preserve">: </w:t>
            </w:r>
            <w:r w:rsidR="00265ED6" w:rsidRPr="003000C8">
              <w:rPr>
                <w:rFonts w:ascii="Arial" w:hAnsi="Arial" w:cs="Arial"/>
                <w:sz w:val="22"/>
                <w:highlight w:val="yellow"/>
              </w:rPr>
              <w:t>corticosteroid, anticoagulant, antiplatelet, oral bisphosphonate, SSRI</w:t>
            </w:r>
          </w:p>
        </w:tc>
        <w:tc>
          <w:tcPr>
            <w:tcW w:w="2988" w:type="dxa"/>
          </w:tcPr>
          <w:p w14:paraId="7EF76B1D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H. </w:t>
            </w:r>
            <w:proofErr w:type="gramStart"/>
            <w:r>
              <w:rPr>
                <w:rFonts w:ascii="Arial" w:hAnsi="Arial" w:cs="Arial"/>
                <w:sz w:val="22"/>
              </w:rPr>
              <w:t>pylori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infection</w:t>
            </w:r>
          </w:p>
          <w:p w14:paraId="74D5388F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NSAID-induced dyspepsia</w:t>
            </w:r>
          </w:p>
          <w:p w14:paraId="32E7BE0F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Alcohol consumption</w:t>
            </w:r>
          </w:p>
          <w:p w14:paraId="7F7325E1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Cigarette smoking</w:t>
            </w:r>
          </w:p>
          <w:p w14:paraId="7F81202C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Rheumatoid arthritis</w:t>
            </w:r>
          </w:p>
        </w:tc>
      </w:tr>
    </w:tbl>
    <w:p w14:paraId="281DF9B5" w14:textId="77777777" w:rsidR="00304AC2" w:rsidRDefault="00304AC2" w:rsidP="00714D36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Idiopathic ulcers</w:t>
      </w:r>
    </w:p>
    <w:p w14:paraId="21015C3D" w14:textId="77777777" w:rsidR="00304AC2" w:rsidRDefault="00304AC2" w:rsidP="00714D36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True incidence difficult to determine</w:t>
      </w:r>
    </w:p>
    <w:p w14:paraId="4C3C4E93" w14:textId="77777777" w:rsidR="00304AC2" w:rsidRDefault="00304AC2" w:rsidP="00714D36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Pathogenic mechanism unknown</w:t>
      </w:r>
    </w:p>
    <w:p w14:paraId="409F4301" w14:textId="77777777" w:rsidR="00304AC2" w:rsidRDefault="00304AC2" w:rsidP="00714D36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Some may have </w:t>
      </w:r>
      <w:proofErr w:type="spellStart"/>
      <w:r>
        <w:rPr>
          <w:rFonts w:ascii="Arial" w:hAnsi="Arial" w:cs="Arial"/>
          <w:sz w:val="22"/>
        </w:rPr>
        <w:t>hx</w:t>
      </w:r>
      <w:proofErr w:type="spellEnd"/>
      <w:r>
        <w:rPr>
          <w:rFonts w:ascii="Arial" w:hAnsi="Arial" w:cs="Arial"/>
          <w:sz w:val="22"/>
        </w:rPr>
        <w:t xml:space="preserve"> of heavy NSAID use</w:t>
      </w:r>
      <w:r>
        <w:rPr>
          <w:rFonts w:ascii="Arial" w:hAnsi="Arial" w:cs="Arial"/>
        </w:rPr>
        <w:t xml:space="preserve"> </w:t>
      </w:r>
    </w:p>
    <w:p w14:paraId="38DA62E4" w14:textId="77777777" w:rsidR="00304AC2" w:rsidRDefault="00304AC2" w:rsidP="00714D36">
      <w:pPr>
        <w:spacing w:line="360" w:lineRule="auto"/>
        <w:rPr>
          <w:rFonts w:ascii="Arial" w:hAnsi="Arial" w:cs="Arial"/>
        </w:rPr>
      </w:pPr>
    </w:p>
    <w:p w14:paraId="2D10A364" w14:textId="4B8A7136" w:rsidR="00304AC2" w:rsidRDefault="00304AC2" w:rsidP="00714D36">
      <w:pPr>
        <w:numPr>
          <w:ilvl w:val="0"/>
          <w:numId w:val="6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Zollinger-Ellison </w:t>
      </w:r>
      <w:proofErr w:type="gramStart"/>
      <w:r>
        <w:rPr>
          <w:rFonts w:ascii="Arial" w:hAnsi="Arial" w:cs="Arial"/>
          <w:sz w:val="22"/>
          <w:u w:val="single"/>
        </w:rPr>
        <w:t>syndrome</w:t>
      </w:r>
      <w:r w:rsidR="003000C8">
        <w:rPr>
          <w:rFonts w:ascii="Arial" w:hAnsi="Arial" w:cs="Arial"/>
          <w:sz w:val="22"/>
          <w:u w:val="single"/>
        </w:rPr>
        <w:t xml:space="preserve">  </w:t>
      </w:r>
      <w:r w:rsidR="003000C8" w:rsidRPr="003000C8">
        <w:rPr>
          <w:rFonts w:ascii="Arial" w:hAnsi="Arial" w:cs="Arial"/>
          <w:color w:val="FF0000"/>
          <w:sz w:val="22"/>
          <w:u w:val="single"/>
        </w:rPr>
        <w:t>20:00</w:t>
      </w:r>
      <w:proofErr w:type="gramEnd"/>
    </w:p>
    <w:p w14:paraId="7258EFA5" w14:textId="77777777" w:rsidR="00304AC2" w:rsidRDefault="00304AC2" w:rsidP="00714D36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A diagnosis of ZES is considered in patients with multiple ulcers and recurrent/refractory PUD</w:t>
      </w:r>
    </w:p>
    <w:p w14:paraId="58EE6F3F" w14:textId="77777777" w:rsidR="00304AC2" w:rsidRDefault="00304AC2" w:rsidP="00714D36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Ulcers occur most often in the duodenum</w:t>
      </w:r>
    </w:p>
    <w:p w14:paraId="5EA8E46B" w14:textId="1477B67E" w:rsidR="00304AC2" w:rsidRPr="00473A4D" w:rsidRDefault="00304AC2" w:rsidP="00473A4D">
      <w:pPr>
        <w:numPr>
          <w:ilvl w:val="1"/>
          <w:numId w:val="6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Diarrhea occurs in approx. 50% of patients due to high concentrations of acid overwhelming the duodenum's buffering capacity and damaging the mucosa</w:t>
      </w:r>
    </w:p>
    <w:p w14:paraId="104FC0C1" w14:textId="77777777" w:rsidR="00304AC2" w:rsidRDefault="00304AC2" w:rsidP="00714D36">
      <w:pPr>
        <w:pStyle w:val="Heading2"/>
        <w:spacing w:line="360" w:lineRule="auto"/>
      </w:pPr>
      <w:r>
        <w:t>Symptoms/Clinical Features</w:t>
      </w:r>
    </w:p>
    <w:p w14:paraId="5EA26475" w14:textId="77777777" w:rsidR="00304AC2" w:rsidRDefault="00304AC2" w:rsidP="00714D36">
      <w:pPr>
        <w:numPr>
          <w:ilvl w:val="0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Clinical s/</w:t>
      </w:r>
      <w:proofErr w:type="spellStart"/>
      <w:r>
        <w:rPr>
          <w:rFonts w:ascii="Arial" w:hAnsi="Arial" w:cs="Arial"/>
          <w:sz w:val="22"/>
        </w:rPr>
        <w:t>sx</w:t>
      </w:r>
      <w:proofErr w:type="spellEnd"/>
      <w:r>
        <w:rPr>
          <w:rFonts w:ascii="Arial" w:hAnsi="Arial" w:cs="Arial"/>
          <w:sz w:val="22"/>
        </w:rPr>
        <w:t xml:space="preserve"> are unreliable and not specific</w:t>
      </w:r>
    </w:p>
    <w:p w14:paraId="16F4CD20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About 80% of patients have dyspepsia; only 15% of those have PUD</w:t>
      </w:r>
    </w:p>
    <w:p w14:paraId="486DF853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Elderly patients may present with “silent ulcer” </w:t>
      </w:r>
    </w:p>
    <w:p w14:paraId="3DDC6EBB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NSAIDs may mask the pain of NSAID-induced PUD</w:t>
      </w:r>
    </w:p>
    <w:p w14:paraId="4C90C8F6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Sharp, burning epigastric pain, point tenderness</w:t>
      </w:r>
    </w:p>
    <w:p w14:paraId="697A54B7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Diffuse lower abdominal pain</w:t>
      </w:r>
    </w:p>
    <w:p w14:paraId="1510D809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Nocturnal pain that awakens patient from sleep</w:t>
      </w:r>
    </w:p>
    <w:p w14:paraId="423C85CB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May be relieved or worsened by eating</w:t>
      </w:r>
    </w:p>
    <w:p w14:paraId="26E5A340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May persist for days, weeks, months</w:t>
      </w:r>
    </w:p>
    <w:p w14:paraId="52B4944F" w14:textId="77777777" w:rsidR="00304AC2" w:rsidRDefault="00304AC2" w:rsidP="00714D36">
      <w:pPr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Nausea/vomiting/anorexia which may lead to weight loss</w:t>
      </w:r>
    </w:p>
    <w:p w14:paraId="74AA6E2B" w14:textId="77777777" w:rsidR="00304AC2" w:rsidRDefault="00304AC2" w:rsidP="00714D36">
      <w:pPr>
        <w:pStyle w:val="tabletitle"/>
        <w:spacing w:before="0" w:beforeAutospacing="0" w:after="0" w:afterAutospacing="0" w:line="360" w:lineRule="auto"/>
        <w:rPr>
          <w:rFonts w:ascii="Arial" w:eastAsia="Times New Roman" w:hAnsi="Arial" w:cs="Arial"/>
          <w:sz w:val="22"/>
        </w:rPr>
      </w:pPr>
    </w:p>
    <w:p w14:paraId="49514ECC" w14:textId="77777777" w:rsidR="00EC7977" w:rsidRDefault="00EC7977" w:rsidP="00714D36">
      <w:pPr>
        <w:pStyle w:val="Heading2"/>
        <w:spacing w:line="360" w:lineRule="auto"/>
        <w:rPr>
          <w:sz w:val="22"/>
        </w:rPr>
      </w:pPr>
    </w:p>
    <w:p w14:paraId="122D8F26" w14:textId="1926062D" w:rsidR="00555E1F" w:rsidRDefault="00555E1F" w:rsidP="00714D36">
      <w:pPr>
        <w:pStyle w:val="Heading2"/>
        <w:spacing w:line="360" w:lineRule="auto"/>
        <w:rPr>
          <w:sz w:val="22"/>
        </w:rPr>
      </w:pPr>
      <w:r>
        <w:rPr>
          <w:sz w:val="22"/>
        </w:rPr>
        <w:t>Alarm symptoms</w:t>
      </w:r>
      <w:r w:rsidR="003000C8">
        <w:rPr>
          <w:sz w:val="22"/>
        </w:rPr>
        <w:t xml:space="preserve"> </w:t>
      </w:r>
      <w:r w:rsidR="003000C8" w:rsidRPr="003000C8">
        <w:rPr>
          <w:color w:val="FF0000"/>
          <w:sz w:val="22"/>
        </w:rPr>
        <w:t>23:00</w:t>
      </w:r>
    </w:p>
    <w:p w14:paraId="44369E2D" w14:textId="33EABBE6" w:rsidR="00555E1F" w:rsidRPr="00555E1F" w:rsidRDefault="00555E1F" w:rsidP="00555E1F">
      <w:pPr>
        <w:pStyle w:val="ListParagraph"/>
        <w:numPr>
          <w:ilvl w:val="0"/>
          <w:numId w:val="8"/>
        </w:numPr>
      </w:pPr>
      <w:r w:rsidRPr="00555E1F">
        <w:t>Bleeding</w:t>
      </w:r>
    </w:p>
    <w:p w14:paraId="136E0286" w14:textId="7670D9E5" w:rsidR="00555E1F" w:rsidRPr="00555E1F" w:rsidRDefault="00555E1F" w:rsidP="00555E1F">
      <w:pPr>
        <w:pStyle w:val="ListParagraph"/>
        <w:numPr>
          <w:ilvl w:val="0"/>
          <w:numId w:val="8"/>
        </w:numPr>
      </w:pPr>
      <w:r w:rsidRPr="00555E1F">
        <w:t>Anemia or drop in Hgb</w:t>
      </w:r>
    </w:p>
    <w:p w14:paraId="361C4ADD" w14:textId="6FDEEC1C" w:rsidR="00555E1F" w:rsidRPr="00555E1F" w:rsidRDefault="00555E1F" w:rsidP="00555E1F">
      <w:pPr>
        <w:pStyle w:val="ListParagraph"/>
        <w:numPr>
          <w:ilvl w:val="0"/>
          <w:numId w:val="8"/>
        </w:numPr>
      </w:pPr>
      <w:r w:rsidRPr="00555E1F">
        <w:t>Weight loss</w:t>
      </w:r>
    </w:p>
    <w:p w14:paraId="689D269B" w14:textId="69DE87D6" w:rsidR="00555E1F" w:rsidRPr="00555E1F" w:rsidRDefault="00555E1F" w:rsidP="00555E1F">
      <w:pPr>
        <w:pStyle w:val="ListParagraph"/>
        <w:numPr>
          <w:ilvl w:val="0"/>
          <w:numId w:val="8"/>
        </w:numPr>
      </w:pPr>
      <w:r w:rsidRPr="00555E1F">
        <w:t>See physician ASAP!</w:t>
      </w:r>
    </w:p>
    <w:p w14:paraId="78D95248" w14:textId="77777777" w:rsidR="00555E1F" w:rsidRDefault="00555E1F" w:rsidP="00714D36">
      <w:pPr>
        <w:pStyle w:val="Heading2"/>
        <w:spacing w:line="360" w:lineRule="auto"/>
        <w:rPr>
          <w:sz w:val="22"/>
        </w:rPr>
      </w:pPr>
    </w:p>
    <w:p w14:paraId="4F48C698" w14:textId="77777777" w:rsidR="00304AC2" w:rsidRDefault="00304AC2" w:rsidP="00714D36">
      <w:pPr>
        <w:pStyle w:val="Heading2"/>
        <w:spacing w:line="360" w:lineRule="auto"/>
      </w:pPr>
      <w:r>
        <w:rPr>
          <w:sz w:val="22"/>
        </w:rPr>
        <w:t>Diagnosis</w:t>
      </w:r>
    </w:p>
    <w:p w14:paraId="35F790EF" w14:textId="77777777" w:rsidR="00EC7977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PUD</w:t>
      </w:r>
    </w:p>
    <w:p w14:paraId="757FE0E3" w14:textId="77777777" w:rsidR="00EC7977" w:rsidRDefault="00EC7977" w:rsidP="00EC79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Upper GI r</w:t>
      </w:r>
      <w:r w:rsidR="00304AC2" w:rsidRPr="00EC7977">
        <w:rPr>
          <w:rFonts w:ascii="Arial" w:hAnsi="Arial" w:cs="Arial"/>
          <w:sz w:val="22"/>
        </w:rPr>
        <w:t xml:space="preserve">adiography or </w:t>
      </w:r>
    </w:p>
    <w:p w14:paraId="45E349EB" w14:textId="77777777" w:rsidR="00EC7977" w:rsidRPr="00EC7977" w:rsidRDefault="00EC7977" w:rsidP="00EC7977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Pr="00EC7977">
        <w:rPr>
          <w:rFonts w:ascii="Arial" w:hAnsi="Arial" w:cs="Arial"/>
          <w:sz w:val="22"/>
        </w:rPr>
        <w:t>osts less, has a greater availability, and greater safety, so it is often the initial diagnostic procedure in patients with suspected uncomplicated PUD</w:t>
      </w:r>
    </w:p>
    <w:p w14:paraId="3B97941D" w14:textId="77777777" w:rsidR="00304AC2" w:rsidRPr="00EC7977" w:rsidRDefault="00EC7977" w:rsidP="00714D3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i/>
          <w:iCs/>
          <w:sz w:val="22"/>
        </w:rPr>
      </w:pPr>
      <w:r w:rsidRPr="00EC7977">
        <w:rPr>
          <w:rFonts w:ascii="Arial" w:hAnsi="Arial" w:cs="Arial"/>
          <w:sz w:val="22"/>
        </w:rPr>
        <w:t>U</w:t>
      </w:r>
      <w:r w:rsidR="00304AC2" w:rsidRPr="00EC7977">
        <w:rPr>
          <w:rFonts w:ascii="Arial" w:hAnsi="Arial" w:cs="Arial"/>
          <w:sz w:val="22"/>
        </w:rPr>
        <w:t xml:space="preserve">pper endoscopy. Radiography </w:t>
      </w:r>
    </w:p>
    <w:p w14:paraId="4119EAE9" w14:textId="77777777" w:rsidR="00304AC2" w:rsidRDefault="00EC7977" w:rsidP="00714D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iCs/>
          <w:sz w:val="22"/>
        </w:rPr>
        <w:t xml:space="preserve">Diagnosis of </w:t>
      </w:r>
      <w:r w:rsidR="00304AC2">
        <w:rPr>
          <w:rFonts w:ascii="Arial" w:hAnsi="Arial" w:cs="Arial"/>
          <w:b/>
          <w:bCs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>:</w:t>
      </w:r>
      <w:r w:rsidR="00304AC2">
        <w:rPr>
          <w:rFonts w:ascii="Arial" w:hAnsi="Arial" w:cs="Arial"/>
          <w:sz w:val="22"/>
        </w:rPr>
        <w:t xml:space="preserve"> Testing </w:t>
      </w:r>
      <w:r>
        <w:rPr>
          <w:rFonts w:ascii="Arial" w:hAnsi="Arial" w:cs="Arial"/>
          <w:sz w:val="22"/>
        </w:rPr>
        <w:t xml:space="preserve">is </w:t>
      </w:r>
      <w:r w:rsidR="00304AC2">
        <w:rPr>
          <w:rFonts w:ascii="Arial" w:hAnsi="Arial" w:cs="Arial"/>
          <w:sz w:val="22"/>
        </w:rPr>
        <w:t xml:space="preserve">indicated with active PUD, past </w:t>
      </w:r>
      <w:proofErr w:type="spellStart"/>
      <w:r w:rsidR="00304AC2">
        <w:rPr>
          <w:rFonts w:ascii="Arial" w:hAnsi="Arial" w:cs="Arial"/>
          <w:sz w:val="22"/>
        </w:rPr>
        <w:t>hx</w:t>
      </w:r>
      <w:proofErr w:type="spellEnd"/>
      <w:r w:rsidR="00304AC2">
        <w:rPr>
          <w:rFonts w:ascii="Arial" w:hAnsi="Arial" w:cs="Arial"/>
          <w:sz w:val="22"/>
        </w:rPr>
        <w:t xml:space="preserve"> of peptic ulcer, or gastric MALT lymphoma. </w:t>
      </w:r>
    </w:p>
    <w:p w14:paraId="1A55C656" w14:textId="77777777" w:rsidR="00304AC2" w:rsidRPr="00BE4791" w:rsidRDefault="00304AC2" w:rsidP="00714D36">
      <w:pPr>
        <w:numPr>
          <w:ilvl w:val="0"/>
          <w:numId w:val="11"/>
        </w:numPr>
        <w:spacing w:line="360" w:lineRule="auto"/>
        <w:rPr>
          <w:rFonts w:ascii="Arial" w:hAnsi="Arial" w:cs="Arial"/>
          <w:b/>
          <w:sz w:val="22"/>
        </w:rPr>
      </w:pPr>
      <w:r w:rsidRPr="00BE4791">
        <w:rPr>
          <w:rFonts w:ascii="Arial" w:hAnsi="Arial" w:cs="Arial"/>
          <w:b/>
          <w:sz w:val="22"/>
        </w:rPr>
        <w:t>Invasive (endoscopic)</w:t>
      </w:r>
    </w:p>
    <w:p w14:paraId="67A694FA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Histology (&gt;95% sensitive and specific)</w:t>
      </w:r>
    </w:p>
    <w:p w14:paraId="7CAE1C73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Gold standard</w:t>
      </w:r>
    </w:p>
    <w:p w14:paraId="3E865B9E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Microbiological examination using various strains</w:t>
      </w:r>
    </w:p>
    <w:p w14:paraId="43758F58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Not recommended for initial diagnosis </w:t>
      </w:r>
    </w:p>
    <w:p w14:paraId="1008FFBC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Pros: permits classification of gastritis, tests for active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 xml:space="preserve"> infection  </w:t>
      </w:r>
    </w:p>
    <w:p w14:paraId="44477DD4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Expensive, requires trained personnel, results are not immediate</w:t>
      </w:r>
    </w:p>
    <w:p w14:paraId="05B30024" w14:textId="77777777" w:rsidR="00304AC2" w:rsidRDefault="00304AC2" w:rsidP="00714D36">
      <w:pPr>
        <w:spacing w:line="360" w:lineRule="auto"/>
        <w:ind w:left="2160"/>
        <w:rPr>
          <w:rFonts w:ascii="Arial" w:hAnsi="Arial" w:cs="Arial"/>
          <w:sz w:val="22"/>
        </w:rPr>
      </w:pPr>
    </w:p>
    <w:p w14:paraId="3F191B8D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Rapid urease (&gt;90% sensitive and specific)</w:t>
      </w:r>
    </w:p>
    <w:p w14:paraId="4142CC16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i/>
          <w:iCs/>
          <w:sz w:val="22"/>
        </w:rPr>
        <w:t xml:space="preserve">H. </w:t>
      </w:r>
      <w:proofErr w:type="gramStart"/>
      <w:r>
        <w:rPr>
          <w:rFonts w:ascii="Arial" w:hAnsi="Arial" w:cs="Arial"/>
          <w:i/>
          <w:iCs/>
          <w:sz w:val="22"/>
        </w:rPr>
        <w:t>pylori</w:t>
      </w:r>
      <w:proofErr w:type="gramEnd"/>
      <w:r w:rsidR="00BE4791">
        <w:rPr>
          <w:rFonts w:ascii="Arial" w:hAnsi="Arial" w:cs="Arial"/>
          <w:sz w:val="22"/>
        </w:rPr>
        <w:t xml:space="preserve"> urease generates ammonia</w:t>
      </w:r>
      <w:r>
        <w:rPr>
          <w:rFonts w:ascii="Arial" w:hAnsi="Arial" w:cs="Arial"/>
          <w:sz w:val="22"/>
        </w:rPr>
        <w:t xml:space="preserve"> causes a color change </w:t>
      </w:r>
    </w:p>
    <w:p w14:paraId="3A9C35FE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Pros: Simple to perform, inexpensive, rapid results, tests for active H. pylori infection</w:t>
      </w:r>
    </w:p>
    <w:p w14:paraId="15D02E7D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False negative with recent PPI use, antibiotics, bismuth compounds</w:t>
      </w:r>
    </w:p>
    <w:p w14:paraId="6E942363" w14:textId="77777777" w:rsidR="00304AC2" w:rsidRDefault="00304AC2" w:rsidP="00714D36">
      <w:pPr>
        <w:spacing w:line="360" w:lineRule="auto"/>
        <w:ind w:left="2520"/>
        <w:rPr>
          <w:rFonts w:ascii="Arial" w:hAnsi="Arial" w:cs="Arial"/>
          <w:sz w:val="22"/>
        </w:rPr>
      </w:pPr>
    </w:p>
    <w:p w14:paraId="441E6CB9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Culture (100% specific)</w:t>
      </w:r>
    </w:p>
    <w:p w14:paraId="5E3DD470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Culture of biopsy</w:t>
      </w:r>
    </w:p>
    <w:p w14:paraId="050BC7B9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 recommended for initial diagnosis</w:t>
      </w:r>
    </w:p>
    <w:p w14:paraId="2FF9C16D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Used after failure of second-line treatment</w:t>
      </w:r>
    </w:p>
    <w:p w14:paraId="1B7E3570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Pros: Allows for culture and sensitivity testing, tests for active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 xml:space="preserve"> infection  </w:t>
      </w:r>
    </w:p>
    <w:p w14:paraId="53D4BE10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Time consuming, expensive, dependent on experience, results are not immediate</w:t>
      </w:r>
    </w:p>
    <w:p w14:paraId="238C4461" w14:textId="77777777" w:rsidR="00304AC2" w:rsidRDefault="00304AC2" w:rsidP="00714D36">
      <w:pPr>
        <w:spacing w:line="360" w:lineRule="auto"/>
        <w:ind w:left="2160"/>
        <w:rPr>
          <w:rFonts w:ascii="Arial" w:hAnsi="Arial" w:cs="Arial"/>
          <w:sz w:val="22"/>
        </w:rPr>
      </w:pPr>
    </w:p>
    <w:p w14:paraId="57280B8A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Polymerase chain reaction</w:t>
      </w:r>
    </w:p>
    <w:p w14:paraId="364F7FDB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DNA amplification technique using biopsy</w:t>
      </w:r>
    </w:p>
    <w:p w14:paraId="22E8BC6B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Presently restricted to research</w:t>
      </w:r>
    </w:p>
    <w:p w14:paraId="55910FC4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Pros: Great specificity and sensitivity, allows for culture and sensitivity data</w:t>
      </w:r>
    </w:p>
    <w:p w14:paraId="3916A334" w14:textId="77777777" w:rsidR="00304AC2" w:rsidRPr="00BE4791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Methodology not standardized</w:t>
      </w:r>
    </w:p>
    <w:p w14:paraId="347FC2EE" w14:textId="77777777" w:rsidR="00304AC2" w:rsidRPr="00BE4791" w:rsidRDefault="00304AC2" w:rsidP="00714D36">
      <w:pPr>
        <w:numPr>
          <w:ilvl w:val="0"/>
          <w:numId w:val="11"/>
        </w:numPr>
        <w:spacing w:line="360" w:lineRule="auto"/>
        <w:rPr>
          <w:rFonts w:ascii="Arial" w:hAnsi="Arial" w:cs="Arial"/>
          <w:b/>
          <w:sz w:val="22"/>
        </w:rPr>
      </w:pPr>
      <w:r w:rsidRPr="00BE4791">
        <w:rPr>
          <w:rFonts w:ascii="Arial" w:hAnsi="Arial" w:cs="Arial"/>
          <w:b/>
          <w:sz w:val="22"/>
        </w:rPr>
        <w:t>Non-invasive</w:t>
      </w:r>
    </w:p>
    <w:p w14:paraId="2465F16A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Antibody detection</w:t>
      </w:r>
    </w:p>
    <w:p w14:paraId="75EB37E3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Detects IgG antibodies to </w:t>
      </w:r>
      <w:r>
        <w:rPr>
          <w:rFonts w:ascii="Arial" w:hAnsi="Arial" w:cs="Arial"/>
          <w:i/>
          <w:iCs/>
          <w:sz w:val="22"/>
        </w:rPr>
        <w:t xml:space="preserve">H. pylori </w:t>
      </w:r>
      <w:r>
        <w:rPr>
          <w:rFonts w:ascii="Arial" w:hAnsi="Arial" w:cs="Arial"/>
          <w:sz w:val="22"/>
        </w:rPr>
        <w:t>in whole blood (laboratory) or fingerstick (in office)</w:t>
      </w:r>
    </w:p>
    <w:p w14:paraId="5BCBEB23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Pros: Can perform in laboratory (more accurate than in-office) or in office (quick, within 15 minutes), inexpensive, convenient, not affected by PPIs or bismuth</w:t>
      </w:r>
    </w:p>
    <w:p w14:paraId="3908784E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Less sensitive and specific than endoscopic tests, unable to determine if antibody is related to active or cured infection, antibody titers vary markedly between individuals and take 6 months to 1 year to return to the uninfected range, antibiotics given for unrelated indications may cure the infection but antibody test will remain positive, so not useful for early follow up</w:t>
      </w:r>
    </w:p>
    <w:p w14:paraId="14FC12F8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25706446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 w:rsidRPr="00003F13">
        <w:rPr>
          <w:rFonts w:ascii="Arial" w:hAnsi="Arial" w:cs="Arial"/>
          <w:color w:val="FF0000"/>
          <w:sz w:val="22"/>
        </w:rPr>
        <w:t>Urea breath test</w:t>
      </w:r>
      <w:r>
        <w:rPr>
          <w:rFonts w:ascii="Arial" w:hAnsi="Arial" w:cs="Arial"/>
          <w:sz w:val="22"/>
        </w:rPr>
        <w:t xml:space="preserve"> (95% sensitive and specific)</w:t>
      </w:r>
    </w:p>
    <w:p w14:paraId="63C3A366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i/>
          <w:iCs/>
          <w:sz w:val="22"/>
        </w:rPr>
        <w:t xml:space="preserve">H. </w:t>
      </w:r>
      <w:proofErr w:type="gramStart"/>
      <w:r>
        <w:rPr>
          <w:rFonts w:ascii="Arial" w:hAnsi="Arial" w:cs="Arial"/>
          <w:i/>
          <w:iCs/>
          <w:sz w:val="22"/>
        </w:rPr>
        <w:t>pylori</w:t>
      </w:r>
      <w:proofErr w:type="gramEnd"/>
      <w:r>
        <w:rPr>
          <w:rFonts w:ascii="Arial" w:hAnsi="Arial" w:cs="Arial"/>
          <w:sz w:val="22"/>
        </w:rPr>
        <w:t xml:space="preserve"> urease breaks down ingested labeled C-urea, patient exhales labeled CO</w:t>
      </w:r>
      <w:r>
        <w:rPr>
          <w:rFonts w:ascii="Arial" w:hAnsi="Arial" w:cs="Arial"/>
          <w:sz w:val="22"/>
          <w:vertAlign w:val="subscript"/>
        </w:rPr>
        <w:t>2</w:t>
      </w:r>
    </w:p>
    <w:p w14:paraId="63607551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Exposure to low-dose radiation </w:t>
      </w:r>
    </w:p>
    <w:p w14:paraId="06818889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Pros: Simple, rapid, tests for active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 xml:space="preserve"> infection, Good for early f/u, useful before and after therapy</w:t>
      </w:r>
    </w:p>
    <w:p w14:paraId="325F96A9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False negative with recent PPI use, H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Ras, antibiotics, bismuth compounds, results take about 2 days;</w:t>
      </w:r>
    </w:p>
    <w:p w14:paraId="18238F4A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Withhold PPIs or H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RAs (1–2 weeks) and bismuth or antibiotics (4 weeks) prior to testing</w:t>
      </w:r>
    </w:p>
    <w:p w14:paraId="273CBEB6" w14:textId="77777777" w:rsidR="00BE4791" w:rsidRDefault="00BE4791" w:rsidP="00BE4791">
      <w:pPr>
        <w:spacing w:line="360" w:lineRule="auto"/>
        <w:ind w:left="2520"/>
        <w:rPr>
          <w:rFonts w:ascii="Arial" w:hAnsi="Arial" w:cs="Arial"/>
          <w:sz w:val="22"/>
        </w:rPr>
      </w:pPr>
    </w:p>
    <w:p w14:paraId="606D01C4" w14:textId="77777777" w:rsidR="00304AC2" w:rsidRDefault="00304AC2" w:rsidP="00714D36">
      <w:pPr>
        <w:numPr>
          <w:ilvl w:val="1"/>
          <w:numId w:val="11"/>
        </w:numPr>
        <w:spacing w:line="360" w:lineRule="auto"/>
        <w:rPr>
          <w:rFonts w:ascii="Arial" w:hAnsi="Arial" w:cs="Arial"/>
          <w:sz w:val="22"/>
        </w:rPr>
      </w:pPr>
      <w:r w:rsidRPr="00003F13">
        <w:rPr>
          <w:rFonts w:ascii="Arial" w:hAnsi="Arial" w:cs="Arial"/>
          <w:color w:val="FF0000"/>
          <w:sz w:val="22"/>
        </w:rPr>
        <w:t>Stool antigen</w:t>
      </w:r>
      <w:r>
        <w:rPr>
          <w:rFonts w:ascii="Arial" w:hAnsi="Arial" w:cs="Arial"/>
          <w:sz w:val="22"/>
        </w:rPr>
        <w:t xml:space="preserve"> (&gt;90% sensitivity; &gt;90% specificity)</w:t>
      </w:r>
    </w:p>
    <w:p w14:paraId="50E99824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Identifies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 xml:space="preserve"> antigen in stool, leading to color change that can be detected visually or by spectrophotometer </w:t>
      </w:r>
    </w:p>
    <w:p w14:paraId="2C7E720C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Pros: Inexpensive, convenient, useful before and after therapy, tests for active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 xml:space="preserve"> infection</w:t>
      </w:r>
    </w:p>
    <w:p w14:paraId="09EA0F74" w14:textId="77777777" w:rsidR="00304AC2" w:rsidRDefault="00304AC2" w:rsidP="00714D36">
      <w:pPr>
        <w:numPr>
          <w:ilvl w:val="2"/>
          <w:numId w:val="11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Cons: antibiotics, bismuth, and PPIs may cause false-negative results, but to a lesser extent than with the urea breath test</w:t>
      </w:r>
    </w:p>
    <w:p w14:paraId="735F877D" w14:textId="77777777" w:rsidR="00BE4791" w:rsidRDefault="00BE4791" w:rsidP="00714D36">
      <w:pPr>
        <w:spacing w:line="360" w:lineRule="auto"/>
        <w:rPr>
          <w:rFonts w:ascii="Arial" w:hAnsi="Arial" w:cs="Arial"/>
          <w:i/>
          <w:sz w:val="22"/>
        </w:rPr>
      </w:pPr>
    </w:p>
    <w:p w14:paraId="32DDC903" w14:textId="7FBFC124" w:rsidR="00BE4791" w:rsidRDefault="00BE4791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 xml:space="preserve">Test-and-treat </w:t>
      </w:r>
      <w:proofErr w:type="gramStart"/>
      <w:r>
        <w:rPr>
          <w:rFonts w:ascii="Arial" w:hAnsi="Arial" w:cs="Arial"/>
          <w:sz w:val="22"/>
        </w:rPr>
        <w:t>strategy</w:t>
      </w:r>
      <w:r w:rsidR="00AF45F9">
        <w:rPr>
          <w:rFonts w:ascii="Arial" w:hAnsi="Arial" w:cs="Arial"/>
          <w:sz w:val="22"/>
        </w:rPr>
        <w:t xml:space="preserve">  </w:t>
      </w:r>
      <w:r w:rsidR="00AF45F9" w:rsidRPr="00AF45F9">
        <w:rPr>
          <w:rFonts w:ascii="Arial" w:hAnsi="Arial" w:cs="Arial"/>
          <w:color w:val="FF0000"/>
          <w:sz w:val="22"/>
        </w:rPr>
        <w:t>36:30</w:t>
      </w:r>
      <w:proofErr w:type="gramEnd"/>
    </w:p>
    <w:p w14:paraId="017542A6" w14:textId="77777777" w:rsidR="00304AC2" w:rsidRPr="00BE4791" w:rsidRDefault="00BE4791" w:rsidP="00BE4791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Pr="00BE4791">
        <w:rPr>
          <w:rFonts w:ascii="Arial" w:hAnsi="Arial" w:cs="Arial"/>
          <w:sz w:val="22"/>
        </w:rPr>
        <w:t>ppropriate in patients &lt;</w:t>
      </w:r>
      <w:r>
        <w:rPr>
          <w:rFonts w:ascii="Arial" w:hAnsi="Arial" w:cs="Arial"/>
          <w:sz w:val="22"/>
        </w:rPr>
        <w:t xml:space="preserve"> </w:t>
      </w:r>
      <w:r w:rsidRPr="00BE4791">
        <w:rPr>
          <w:rFonts w:ascii="Arial" w:hAnsi="Arial" w:cs="Arial"/>
          <w:sz w:val="22"/>
        </w:rPr>
        <w:t xml:space="preserve">55 </w:t>
      </w:r>
      <w:r>
        <w:rPr>
          <w:rFonts w:ascii="Arial" w:hAnsi="Arial" w:cs="Arial"/>
          <w:sz w:val="22"/>
        </w:rPr>
        <w:t xml:space="preserve">years old </w:t>
      </w:r>
      <w:r w:rsidRPr="00BE4791">
        <w:rPr>
          <w:rFonts w:ascii="Arial" w:hAnsi="Arial" w:cs="Arial"/>
          <w:sz w:val="22"/>
        </w:rPr>
        <w:t>who present with uninvestigated dyspepsia without “alarm features.”</w:t>
      </w:r>
    </w:p>
    <w:p w14:paraId="0A8A8385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7EE4350B" w14:textId="77777777" w:rsidR="00BE4791" w:rsidRDefault="00BE4791" w:rsidP="00714D36">
      <w:pPr>
        <w:spacing w:line="360" w:lineRule="auto"/>
        <w:rPr>
          <w:rFonts w:ascii="Arial" w:hAnsi="Arial" w:cs="Arial"/>
          <w:sz w:val="22"/>
        </w:rPr>
      </w:pPr>
    </w:p>
    <w:p w14:paraId="13D3E764" w14:textId="77777777" w:rsidR="00304AC2" w:rsidRDefault="00304AC2" w:rsidP="00714D36">
      <w:pPr>
        <w:pStyle w:val="Heading2"/>
        <w:spacing w:line="360" w:lineRule="auto"/>
        <w:rPr>
          <w:sz w:val="22"/>
        </w:rPr>
      </w:pPr>
      <w:r>
        <w:rPr>
          <w:sz w:val="22"/>
        </w:rPr>
        <w:t>Pharmacologic therapy</w:t>
      </w:r>
    </w:p>
    <w:p w14:paraId="436090EA" w14:textId="77777777" w:rsidR="00304AC2" w:rsidRDefault="00BE4791" w:rsidP="00714D36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PPIs</w:t>
      </w:r>
      <w:r w:rsidR="00304AC2">
        <w:rPr>
          <w:rFonts w:ascii="Arial" w:hAnsi="Arial" w:cs="Arial"/>
          <w:sz w:val="22"/>
        </w:rPr>
        <w:t xml:space="preserve"> H</w:t>
      </w:r>
      <w:r w:rsidR="00304AC2" w:rsidRPr="00BE4791">
        <w:rPr>
          <w:rFonts w:ascii="Arial" w:hAnsi="Arial" w:cs="Arial"/>
          <w:sz w:val="22"/>
          <w:vertAlign w:val="subscript"/>
        </w:rPr>
        <w:t>2</w:t>
      </w:r>
      <w:r w:rsidR="00304AC2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 xml:space="preserve">receptor </w:t>
      </w:r>
      <w:r w:rsidR="00304AC2">
        <w:rPr>
          <w:rFonts w:ascii="Arial" w:hAnsi="Arial" w:cs="Arial"/>
          <w:sz w:val="22"/>
        </w:rPr>
        <w:t>antag</w:t>
      </w:r>
      <w:r>
        <w:rPr>
          <w:rFonts w:ascii="Arial" w:hAnsi="Arial" w:cs="Arial"/>
          <w:sz w:val="22"/>
        </w:rPr>
        <w:t>onists, and antibiotics presented</w:t>
      </w:r>
      <w:r w:rsidR="00304AC2">
        <w:rPr>
          <w:rFonts w:ascii="Arial" w:hAnsi="Arial" w:cs="Arial"/>
          <w:sz w:val="22"/>
        </w:rPr>
        <w:t xml:space="preserve"> previously</w:t>
      </w:r>
    </w:p>
    <w:p w14:paraId="6AA43394" w14:textId="77777777" w:rsidR="00304AC2" w:rsidRDefault="00304AC2" w:rsidP="00BE4791">
      <w:pPr>
        <w:spacing w:line="360" w:lineRule="auto"/>
        <w:rPr>
          <w:rFonts w:ascii="Arial" w:hAnsi="Arial" w:cs="Arial"/>
          <w:sz w:val="22"/>
        </w:rPr>
      </w:pPr>
    </w:p>
    <w:p w14:paraId="385B950D" w14:textId="77777777" w:rsidR="00304AC2" w:rsidRDefault="00304AC2" w:rsidP="00714D36">
      <w:pPr>
        <w:numPr>
          <w:ilvl w:val="0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Introduction of new agents:</w:t>
      </w:r>
    </w:p>
    <w:p w14:paraId="2C71D6DC" w14:textId="77777777" w:rsidR="00304AC2" w:rsidRDefault="00491BF3" w:rsidP="00714D36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Sucralfate- </w:t>
      </w:r>
      <w:r w:rsidR="00304AC2">
        <w:rPr>
          <w:rFonts w:ascii="Arial" w:hAnsi="Arial" w:cs="Arial"/>
          <w:sz w:val="22"/>
        </w:rPr>
        <w:t>thought to form an ulcer-adherent complex at the ulcer site, protecting it against further attack</w:t>
      </w:r>
    </w:p>
    <w:p w14:paraId="264C862C" w14:textId="77777777" w:rsidR="00491BF3" w:rsidRDefault="00491BF3" w:rsidP="00491BF3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Inhibits pepsin activity and may increase production of prostaglandin and gastric mucus</w:t>
      </w:r>
    </w:p>
    <w:p w14:paraId="60C40E10" w14:textId="77777777" w:rsidR="00491BF3" w:rsidRDefault="00491BF3" w:rsidP="00491BF3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Take on an empty stomach to prevent binding to dietary protein and phosphate</w:t>
      </w:r>
    </w:p>
    <w:p w14:paraId="5C5C71F9" w14:textId="77777777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with caution in patients with renal failure</w:t>
      </w:r>
    </w:p>
    <w:p w14:paraId="618D4874" w14:textId="09F7568B" w:rsidR="00F81376" w:rsidRDefault="00F81376" w:rsidP="00491BF3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Adverse effects: </w:t>
      </w:r>
      <w:r w:rsidR="002A6B88">
        <w:rPr>
          <w:rFonts w:ascii="Arial" w:hAnsi="Arial" w:cs="Arial"/>
          <w:sz w:val="22"/>
        </w:rPr>
        <w:t>constipation (uncommon)</w:t>
      </w:r>
    </w:p>
    <w:p w14:paraId="042172AB" w14:textId="77777777" w:rsidR="00491BF3" w:rsidRDefault="00491BF3" w:rsidP="00491BF3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DDIs: can alter the absorption of some drugs</w:t>
      </w:r>
    </w:p>
    <w:p w14:paraId="1238CC83" w14:textId="77777777" w:rsidR="00491BF3" w:rsidRDefault="00491BF3" w:rsidP="00491BF3">
      <w:pPr>
        <w:numPr>
          <w:ilvl w:val="3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Take other medications 2 hours before sucralfate</w:t>
      </w:r>
    </w:p>
    <w:p w14:paraId="280A6E85" w14:textId="464B7CBE" w:rsidR="00491BF3" w:rsidRDefault="00491BF3" w:rsidP="00491BF3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Available as an oral suspension (1</w:t>
      </w:r>
      <w:r w:rsidR="00F8137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g/10</w:t>
      </w:r>
      <w:r w:rsidR="00F8137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mL) </w:t>
      </w:r>
      <w:r w:rsidR="001601B9">
        <w:rPr>
          <w:rFonts w:ascii="Arial" w:hAnsi="Arial" w:cs="Arial"/>
          <w:sz w:val="22"/>
        </w:rPr>
        <w:t>or 1g tablets</w:t>
      </w:r>
    </w:p>
    <w:p w14:paraId="333EAF3F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06D5CFF1" w14:textId="77777777" w:rsidR="00304AC2" w:rsidRDefault="00304AC2" w:rsidP="00714D36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Bismuth subsalicylate- possible ulcer-healing mechanisms include antibacterial effect, local </w:t>
      </w:r>
      <w:proofErr w:type="spellStart"/>
      <w:r>
        <w:rPr>
          <w:rFonts w:ascii="Arial" w:hAnsi="Arial" w:cs="Arial"/>
          <w:sz w:val="22"/>
        </w:rPr>
        <w:t>gastroprotective</w:t>
      </w:r>
      <w:proofErr w:type="spellEnd"/>
      <w:r>
        <w:rPr>
          <w:rFonts w:ascii="Arial" w:hAnsi="Arial" w:cs="Arial"/>
          <w:sz w:val="22"/>
        </w:rPr>
        <w:t xml:space="preserve"> effect, and stimula</w:t>
      </w:r>
      <w:r w:rsidR="00062A60">
        <w:rPr>
          <w:rFonts w:ascii="Arial" w:hAnsi="Arial" w:cs="Arial"/>
          <w:sz w:val="22"/>
        </w:rPr>
        <w:t>tion of endo</w:t>
      </w:r>
      <w:r>
        <w:rPr>
          <w:rFonts w:ascii="Arial" w:hAnsi="Arial" w:cs="Arial"/>
          <w:sz w:val="22"/>
        </w:rPr>
        <w:t>genous prostaglandins</w:t>
      </w:r>
    </w:p>
    <w:p w14:paraId="5397120A" w14:textId="77777777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May impart a black color to the stool and possibly the tongue (liquid preparation)</w:t>
      </w:r>
    </w:p>
    <w:p w14:paraId="659BDA07" w14:textId="77777777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May cause salicylate sensitivity</w:t>
      </w:r>
    </w:p>
    <w:p w14:paraId="27083AED" w14:textId="77777777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with caution in older patients with renal failure</w:t>
      </w:r>
    </w:p>
    <w:p w14:paraId="01C95DA9" w14:textId="77777777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Adverse effects: few when taken as recommended</w:t>
      </w:r>
    </w:p>
    <w:p w14:paraId="251ABB6B" w14:textId="2130C0BE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DDIs:</w:t>
      </w:r>
      <w:r w:rsidR="00951BBA">
        <w:rPr>
          <w:rFonts w:ascii="Arial" w:hAnsi="Arial" w:cs="Arial"/>
          <w:sz w:val="22"/>
        </w:rPr>
        <w:t xml:space="preserve"> tetracycline (bismuth may decrease the serum conc of tetracycline. Separate the dosing.</w:t>
      </w:r>
      <w:r w:rsidR="00810F7F">
        <w:rPr>
          <w:rFonts w:ascii="Arial" w:hAnsi="Arial" w:cs="Arial"/>
          <w:sz w:val="22"/>
        </w:rPr>
        <w:t xml:space="preserve"> Take the tetracycline 2 hours prior to admin the bismuth.</w:t>
      </w:r>
      <w:r w:rsidR="00951BBA">
        <w:rPr>
          <w:rFonts w:ascii="Arial" w:hAnsi="Arial" w:cs="Arial"/>
          <w:sz w:val="22"/>
        </w:rPr>
        <w:t xml:space="preserve"> Both are used to treat </w:t>
      </w:r>
      <w:proofErr w:type="spellStart"/>
      <w:r w:rsidR="00951BBA">
        <w:rPr>
          <w:rFonts w:ascii="Arial" w:hAnsi="Arial" w:cs="Arial"/>
          <w:sz w:val="22"/>
        </w:rPr>
        <w:t>H.pylori</w:t>
      </w:r>
      <w:proofErr w:type="spellEnd"/>
      <w:r w:rsidR="00951BBA">
        <w:rPr>
          <w:rFonts w:ascii="Arial" w:hAnsi="Arial" w:cs="Arial"/>
          <w:sz w:val="22"/>
        </w:rPr>
        <w:t>)</w:t>
      </w:r>
    </w:p>
    <w:p w14:paraId="0D94B2FF" w14:textId="77777777" w:rsidR="00F81376" w:rsidRDefault="00F81376" w:rsidP="00F8137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Available as liquid (262 mg/15 mL or 525 mg/15 mL) </w:t>
      </w:r>
    </w:p>
    <w:p w14:paraId="1CA390D1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49F773E6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35260D75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0FDEFF40" w14:textId="0EDC7BD1" w:rsidR="00304AC2" w:rsidRDefault="00304AC2" w:rsidP="00714D36">
      <w:pPr>
        <w:numPr>
          <w:ilvl w:val="1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Misoprostol – prostaglandin used for </w:t>
      </w:r>
      <w:r w:rsidRPr="007172B3">
        <w:rPr>
          <w:rFonts w:ascii="Arial" w:hAnsi="Arial" w:cs="Arial"/>
          <w:color w:val="FF0000"/>
          <w:sz w:val="22"/>
        </w:rPr>
        <w:t>prevention</w:t>
      </w:r>
      <w:r>
        <w:rPr>
          <w:rFonts w:ascii="Arial" w:hAnsi="Arial" w:cs="Arial"/>
          <w:sz w:val="22"/>
        </w:rPr>
        <w:t xml:space="preserve"> of NSAID-induced gastric ulcers</w:t>
      </w:r>
      <w:r w:rsidR="007172B3">
        <w:rPr>
          <w:rFonts w:ascii="Arial" w:hAnsi="Arial" w:cs="Arial"/>
          <w:sz w:val="22"/>
        </w:rPr>
        <w:t xml:space="preserve"> (not maintenance Tx)</w:t>
      </w:r>
    </w:p>
    <w:p w14:paraId="78F2E122" w14:textId="77777777" w:rsidR="00595EF8" w:rsidRDefault="00595EF8" w:rsidP="00714D3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Adverse effects: diarrhea, abdominal cramping (dose-dependent)</w:t>
      </w:r>
    </w:p>
    <w:p w14:paraId="18B3DFF9" w14:textId="77777777" w:rsidR="00595EF8" w:rsidRDefault="00595EF8" w:rsidP="00714D3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Pregnancy category X</w:t>
      </w:r>
    </w:p>
    <w:p w14:paraId="47A4086E" w14:textId="77777777" w:rsidR="00595EF8" w:rsidRDefault="00595EF8" w:rsidP="00595EF8">
      <w:pPr>
        <w:numPr>
          <w:ilvl w:val="3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Used to induce labor in women with term pregnancy</w:t>
      </w:r>
    </w:p>
    <w:p w14:paraId="7AE44DE8" w14:textId="77777777" w:rsidR="00304AC2" w:rsidRDefault="00304AC2" w:rsidP="00714D3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Typical dose: 200mcg </w:t>
      </w:r>
      <w:proofErr w:type="spellStart"/>
      <w:r>
        <w:rPr>
          <w:rFonts w:ascii="Arial" w:hAnsi="Arial" w:cs="Arial"/>
          <w:sz w:val="22"/>
        </w:rPr>
        <w:t>po</w:t>
      </w:r>
      <w:proofErr w:type="spellEnd"/>
      <w:r>
        <w:rPr>
          <w:rFonts w:ascii="Arial" w:hAnsi="Arial" w:cs="Arial"/>
          <w:sz w:val="22"/>
        </w:rPr>
        <w:t xml:space="preserve"> three or four times daily with food</w:t>
      </w:r>
    </w:p>
    <w:p w14:paraId="238DB757" w14:textId="5BE96013" w:rsidR="00304AC2" w:rsidRDefault="00304AC2" w:rsidP="00714D36">
      <w:pPr>
        <w:numPr>
          <w:ilvl w:val="2"/>
          <w:numId w:val="14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Must give at least </w:t>
      </w:r>
      <w:r w:rsidR="00A1660B" w:rsidRPr="007172B3">
        <w:rPr>
          <w:rFonts w:ascii="Arial" w:hAnsi="Arial" w:cs="Arial"/>
          <w:sz w:val="22"/>
          <w:u w:val="single"/>
        </w:rPr>
        <w:t>600</w:t>
      </w:r>
      <w:r w:rsidR="00A1660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mcg/day for effect</w:t>
      </w:r>
    </w:p>
    <w:p w14:paraId="0EBF5A67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5DFBD411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2103884A" w14:textId="77777777" w:rsidR="00304AC2" w:rsidRDefault="00304AC2" w:rsidP="00714D36">
      <w:pPr>
        <w:pStyle w:val="Heading2"/>
        <w:spacing w:line="360" w:lineRule="auto"/>
        <w:rPr>
          <w:sz w:val="22"/>
        </w:rPr>
      </w:pPr>
      <w:r>
        <w:rPr>
          <w:sz w:val="22"/>
        </w:rPr>
        <w:t>Treatment Goals</w:t>
      </w:r>
    </w:p>
    <w:p w14:paraId="1F9038E1" w14:textId="77777777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i/>
          <w:iCs/>
          <w:sz w:val="22"/>
        </w:rPr>
        <w:t xml:space="preserve">H. </w:t>
      </w:r>
      <w:proofErr w:type="gramStart"/>
      <w:r>
        <w:rPr>
          <w:rFonts w:ascii="Arial" w:hAnsi="Arial" w:cs="Arial"/>
          <w:i/>
          <w:iCs/>
          <w:sz w:val="22"/>
        </w:rPr>
        <w:t>pylori</w:t>
      </w:r>
      <w:proofErr w:type="gramEnd"/>
      <w:r>
        <w:rPr>
          <w:rFonts w:ascii="Arial" w:hAnsi="Arial" w:cs="Arial"/>
          <w:sz w:val="22"/>
        </w:rPr>
        <w:t xml:space="preserve">-positive ulcers- eradicate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>, heal the ulcer, and cure the disease</w:t>
      </w:r>
    </w:p>
    <w:p w14:paraId="7AE2D9D7" w14:textId="77777777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NSAID-induced ulcer- heal the ulcer as rapidly as possible</w:t>
      </w:r>
    </w:p>
    <w:p w14:paraId="6BCBFF98" w14:textId="77777777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Secondary </w:t>
      </w:r>
    </w:p>
    <w:p w14:paraId="0C19590B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Preventing ulcer recurrence</w:t>
      </w:r>
    </w:p>
    <w:p w14:paraId="4379A0FC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Reducing ulcer-related complications</w:t>
      </w:r>
    </w:p>
    <w:p w14:paraId="2C21C0E9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sz w:val="22"/>
        </w:rPr>
        <w:t>Well-tolerated, cost effective treatment</w:t>
      </w:r>
    </w:p>
    <w:p w14:paraId="25F26A8F" w14:textId="77777777" w:rsidR="00735642" w:rsidRDefault="00735642" w:rsidP="00735642">
      <w:pPr>
        <w:spacing w:line="360" w:lineRule="auto"/>
        <w:rPr>
          <w:rFonts w:ascii="Arial" w:hAnsi="Arial" w:cs="Arial"/>
          <w:b/>
          <w:bCs/>
          <w:i/>
          <w:iCs/>
          <w:sz w:val="22"/>
        </w:rPr>
      </w:pPr>
    </w:p>
    <w:p w14:paraId="5FEEC777" w14:textId="77777777" w:rsidR="00735642" w:rsidRDefault="00735642" w:rsidP="00735642">
      <w:pPr>
        <w:spacing w:line="360" w:lineRule="auto"/>
        <w:rPr>
          <w:rFonts w:ascii="Arial" w:hAnsi="Arial" w:cs="Arial"/>
          <w:b/>
          <w:bCs/>
          <w:i/>
          <w:iCs/>
          <w:sz w:val="22"/>
        </w:rPr>
      </w:pPr>
    </w:p>
    <w:p w14:paraId="7068B740" w14:textId="77777777" w:rsidR="008C5B1F" w:rsidRDefault="008C5B1F">
      <w:pPr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br w:type="page"/>
      </w:r>
    </w:p>
    <w:p w14:paraId="1F70FAE0" w14:textId="77777777" w:rsidR="00600671" w:rsidRDefault="00600671" w:rsidP="00735642">
      <w:pPr>
        <w:spacing w:line="360" w:lineRule="auto"/>
        <w:rPr>
          <w:rFonts w:ascii="Arial" w:hAnsi="Arial" w:cs="Arial"/>
          <w:b/>
          <w:bCs/>
          <w:i/>
          <w:iCs/>
          <w:color w:val="FF0000"/>
          <w:sz w:val="22"/>
        </w:rPr>
      </w:pPr>
      <w:r>
        <w:rPr>
          <w:rFonts w:ascii="Arial" w:hAnsi="Arial" w:cs="Arial"/>
          <w:b/>
          <w:bCs/>
          <w:i/>
          <w:iCs/>
          <w:color w:val="FF0000"/>
          <w:sz w:val="22"/>
        </w:rPr>
        <w:br w:type="page"/>
      </w:r>
    </w:p>
    <w:p w14:paraId="66670010" w14:textId="3A1053F0" w:rsidR="00304AC2" w:rsidRPr="00735642" w:rsidRDefault="00304AC2" w:rsidP="00735642">
      <w:pPr>
        <w:spacing w:line="360" w:lineRule="auto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t xml:space="preserve">H. </w:t>
      </w:r>
      <w:proofErr w:type="gramStart"/>
      <w:r>
        <w:rPr>
          <w:rFonts w:ascii="Arial" w:hAnsi="Arial" w:cs="Arial"/>
          <w:b/>
          <w:bCs/>
          <w:i/>
          <w:iCs/>
          <w:sz w:val="22"/>
        </w:rPr>
        <w:t>pylori</w:t>
      </w:r>
      <w:proofErr w:type="gramEnd"/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eradication</w:t>
      </w:r>
    </w:p>
    <w:p w14:paraId="187A4BDE" w14:textId="77777777" w:rsidR="00304AC2" w:rsidRDefault="00304AC2" w:rsidP="00714D36">
      <w:pPr>
        <w:pStyle w:val="tabletitle"/>
        <w:spacing w:before="0" w:beforeAutospacing="0" w:after="0" w:afterAutospacing="0" w:line="360" w:lineRule="auto"/>
        <w:rPr>
          <w:rFonts w:ascii="Arial" w:eastAsia="Times New Roman" w:hAnsi="Arial" w:cs="Arial"/>
          <w:b/>
          <w:sz w:val="22"/>
        </w:rPr>
      </w:pPr>
      <w:r>
        <w:rPr>
          <w:rFonts w:ascii="Arial" w:eastAsia="Times New Roman" w:hAnsi="Arial" w:cs="Arial"/>
          <w:b/>
          <w:sz w:val="22"/>
        </w:rPr>
        <w:t xml:space="preserve">First Line Regimens </w:t>
      </w:r>
    </w:p>
    <w:tbl>
      <w:tblPr>
        <w:tblpPr w:leftFromText="180" w:rightFromText="180" w:vertAnchor="text" w:tblpX="-432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1800"/>
        <w:gridCol w:w="2160"/>
      </w:tblGrid>
      <w:tr w:rsidR="00304AC2" w14:paraId="7487982E" w14:textId="77777777">
        <w:tc>
          <w:tcPr>
            <w:tcW w:w="5688" w:type="dxa"/>
          </w:tcPr>
          <w:p w14:paraId="26BD4643" w14:textId="1D6BA561" w:rsidR="00304AC2" w:rsidRDefault="00304AC2" w:rsidP="009D3D4F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Regimen</w:t>
            </w:r>
            <w:r w:rsidR="009D3D4F">
              <w:rPr>
                <w:rFonts w:ascii="Arial" w:hAnsi="Arial" w:cs="Arial"/>
                <w:sz w:val="22"/>
              </w:rPr>
              <w:t xml:space="preserve"> </w:t>
            </w:r>
            <w:r w:rsidR="009D3D4F" w:rsidRPr="009D3D4F">
              <w:rPr>
                <w:rFonts w:ascii="Arial" w:hAnsi="Arial" w:cs="Arial"/>
                <w:color w:val="FF0000"/>
                <w:sz w:val="22"/>
              </w:rPr>
              <w:t>(</w:t>
            </w:r>
            <w:r w:rsidR="009D3D4F">
              <w:rPr>
                <w:rFonts w:ascii="Arial" w:hAnsi="Arial" w:cs="Arial"/>
                <w:color w:val="FF0000"/>
                <w:sz w:val="22"/>
              </w:rPr>
              <w:t>discussed possible AE</w:t>
            </w:r>
            <w:r w:rsidR="001770A2">
              <w:rPr>
                <w:rFonts w:ascii="Arial" w:hAnsi="Arial" w:cs="Arial"/>
                <w:color w:val="FF0000"/>
                <w:sz w:val="22"/>
              </w:rPr>
              <w:t xml:space="preserve"> with each drug</w:t>
            </w:r>
            <w:r w:rsidR="009D3D4F" w:rsidRPr="009D3D4F">
              <w:rPr>
                <w:rFonts w:ascii="Arial" w:hAnsi="Arial" w:cs="Arial"/>
                <w:color w:val="FF0000"/>
                <w:sz w:val="22"/>
              </w:rPr>
              <w:t>)</w:t>
            </w:r>
            <w:r w:rsidR="001770A2">
              <w:rPr>
                <w:rFonts w:ascii="Arial" w:hAnsi="Arial" w:cs="Arial"/>
                <w:color w:val="FF0000"/>
                <w:sz w:val="22"/>
              </w:rPr>
              <w:t xml:space="preserve"> also use “regional” regimen (ie clarithromycin resistance may be prevalent in specific areas, so you should use a different regimen in these instances)</w:t>
            </w:r>
          </w:p>
        </w:tc>
        <w:tc>
          <w:tcPr>
            <w:tcW w:w="1800" w:type="dxa"/>
          </w:tcPr>
          <w:p w14:paraId="463D3E2C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Duration</w:t>
            </w:r>
          </w:p>
        </w:tc>
        <w:tc>
          <w:tcPr>
            <w:tcW w:w="2160" w:type="dxa"/>
          </w:tcPr>
          <w:p w14:paraId="368702EA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Eradication Rates</w:t>
            </w:r>
          </w:p>
        </w:tc>
      </w:tr>
      <w:tr w:rsidR="00304AC2" w14:paraId="19B04E93" w14:textId="77777777">
        <w:tc>
          <w:tcPr>
            <w:tcW w:w="5688" w:type="dxa"/>
          </w:tcPr>
          <w:p w14:paraId="10E6205D" w14:textId="6A9B61CE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amoxicillin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1g BID </w:t>
            </w:r>
            <w:r w:rsidR="009D3D4F" w:rsidRPr="009D3D4F">
              <w:rPr>
                <w:rFonts w:ascii="Arial" w:hAnsi="Arial" w:cs="Arial"/>
                <w:color w:val="FF0000"/>
                <w:sz w:val="22"/>
              </w:rPr>
              <w:t xml:space="preserve">(diarrhea) </w:t>
            </w:r>
            <w:r>
              <w:rPr>
                <w:rFonts w:ascii="Arial" w:hAnsi="Arial" w:cs="Arial"/>
                <w:b/>
                <w:bCs/>
                <w:sz w:val="22"/>
              </w:rPr>
              <w:t>+</w:t>
            </w:r>
          </w:p>
          <w:p w14:paraId="677448CE" w14:textId="4EB75742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clarithromycin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500mg BID </w:t>
            </w:r>
            <w:r>
              <w:rPr>
                <w:rFonts w:ascii="Arial" w:hAnsi="Arial" w:cs="Arial"/>
                <w:b/>
                <w:bCs/>
                <w:sz w:val="22"/>
              </w:rPr>
              <w:t>+</w:t>
            </w:r>
          </w:p>
          <w:p w14:paraId="7319E970" w14:textId="33BDC59B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PPI BID (except esomeprazole) </w:t>
            </w:r>
            <w:r w:rsidR="0050385F">
              <w:rPr>
                <w:rFonts w:ascii="Arial" w:hAnsi="Arial" w:cs="Arial"/>
                <w:sz w:val="22"/>
              </w:rPr>
              <w:t xml:space="preserve"> </w:t>
            </w:r>
            <w:r w:rsidR="0050385F" w:rsidRPr="0050385F">
              <w:rPr>
                <w:rFonts w:ascii="Arial" w:hAnsi="Arial" w:cs="Arial"/>
                <w:color w:val="FF0000"/>
                <w:sz w:val="22"/>
              </w:rPr>
              <w:t>“triple drug regimen”</w:t>
            </w:r>
          </w:p>
        </w:tc>
        <w:tc>
          <w:tcPr>
            <w:tcW w:w="1800" w:type="dxa"/>
          </w:tcPr>
          <w:p w14:paraId="441D6F63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 days</w:t>
            </w:r>
          </w:p>
        </w:tc>
        <w:tc>
          <w:tcPr>
            <w:tcW w:w="2160" w:type="dxa"/>
          </w:tcPr>
          <w:p w14:paraId="384712FD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70-85%</w:t>
            </w:r>
          </w:p>
        </w:tc>
      </w:tr>
      <w:tr w:rsidR="00304AC2" w14:paraId="1BDAE1B2" w14:textId="77777777">
        <w:tc>
          <w:tcPr>
            <w:tcW w:w="5688" w:type="dxa"/>
          </w:tcPr>
          <w:p w14:paraId="1BC32F00" w14:textId="6604178A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metronidazole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500mg BID</w:t>
            </w:r>
            <w:r w:rsidR="009D3D4F">
              <w:rPr>
                <w:rFonts w:ascii="Arial" w:hAnsi="Arial" w:cs="Arial"/>
                <w:sz w:val="22"/>
              </w:rPr>
              <w:t xml:space="preserve"> </w:t>
            </w:r>
            <w:r w:rsidR="009D3D4F" w:rsidRPr="009D3D4F">
              <w:rPr>
                <w:rFonts w:ascii="Arial" w:hAnsi="Arial" w:cs="Arial"/>
                <w:color w:val="FF0000"/>
                <w:sz w:val="22"/>
              </w:rPr>
              <w:t>(no EtOH “metallic taste”</w:t>
            </w:r>
            <w:r w:rsidR="009D3D4F">
              <w:rPr>
                <w:rFonts w:ascii="Arial" w:hAnsi="Arial" w:cs="Arial"/>
                <w:color w:val="FF0000"/>
                <w:sz w:val="22"/>
              </w:rPr>
              <w:t>?</w:t>
            </w:r>
            <w:r w:rsidR="009D3D4F" w:rsidRPr="009D3D4F">
              <w:rPr>
                <w:rFonts w:ascii="Arial" w:hAnsi="Arial" w:cs="Arial"/>
                <w:color w:val="FF0000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+</w:t>
            </w:r>
          </w:p>
          <w:p w14:paraId="29EEE56C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clarithromycin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500mg BID </w:t>
            </w:r>
            <w:r>
              <w:rPr>
                <w:rFonts w:ascii="Arial" w:hAnsi="Arial" w:cs="Arial"/>
                <w:b/>
                <w:bCs/>
                <w:sz w:val="22"/>
              </w:rPr>
              <w:t>+</w:t>
            </w:r>
          </w:p>
          <w:p w14:paraId="4CE43295" w14:textId="1C8B54DD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PPI BID (except esomeprazole)</w:t>
            </w:r>
            <w:r w:rsidR="00AF7FD2">
              <w:rPr>
                <w:rFonts w:ascii="Arial" w:hAnsi="Arial" w:cs="Arial"/>
                <w:sz w:val="22"/>
              </w:rPr>
              <w:t xml:space="preserve"> </w:t>
            </w:r>
            <w:r w:rsidR="00AF7FD2" w:rsidRPr="0050385F">
              <w:rPr>
                <w:rFonts w:ascii="Arial" w:hAnsi="Arial" w:cs="Arial"/>
                <w:color w:val="FF0000"/>
                <w:sz w:val="22"/>
              </w:rPr>
              <w:t>“triple drug regimen”</w:t>
            </w:r>
          </w:p>
        </w:tc>
        <w:tc>
          <w:tcPr>
            <w:tcW w:w="1800" w:type="dxa"/>
          </w:tcPr>
          <w:p w14:paraId="69754981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 days</w:t>
            </w:r>
          </w:p>
        </w:tc>
        <w:tc>
          <w:tcPr>
            <w:tcW w:w="2160" w:type="dxa"/>
          </w:tcPr>
          <w:p w14:paraId="5391CFBA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70-85%</w:t>
            </w:r>
          </w:p>
        </w:tc>
      </w:tr>
      <w:tr w:rsidR="00304AC2" w14:paraId="023F186B" w14:textId="77777777">
        <w:tc>
          <w:tcPr>
            <w:tcW w:w="5688" w:type="dxa"/>
          </w:tcPr>
          <w:p w14:paraId="37113C50" w14:textId="3B3BA62B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Bismuth subsalicylate 525mg </w:t>
            </w:r>
            <w:proofErr w:type="spellStart"/>
            <w:r>
              <w:rPr>
                <w:rFonts w:ascii="Arial" w:hAnsi="Arial" w:cs="Arial"/>
                <w:sz w:val="22"/>
              </w:rPr>
              <w:t>po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4 times daily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+ </w:t>
            </w:r>
            <w:r>
              <w:rPr>
                <w:rFonts w:ascii="Arial" w:hAnsi="Arial" w:cs="Arial"/>
                <w:sz w:val="22"/>
              </w:rPr>
              <w:t>metronidazole</w:t>
            </w:r>
            <w:r w:rsidR="009D3D4F">
              <w:rPr>
                <w:rFonts w:ascii="Arial" w:hAnsi="Arial" w:cs="Arial"/>
                <w:sz w:val="22"/>
              </w:rPr>
              <w:t xml:space="preserve"> (no EtOH)</w:t>
            </w:r>
            <w:r>
              <w:rPr>
                <w:rFonts w:ascii="Arial" w:hAnsi="Arial" w:cs="Arial"/>
                <w:sz w:val="22"/>
              </w:rPr>
              <w:t xml:space="preserve"> 250mg 4 times daily </w:t>
            </w:r>
            <w:r>
              <w:rPr>
                <w:rFonts w:ascii="Arial" w:hAnsi="Arial" w:cs="Arial"/>
                <w:b/>
                <w:bCs/>
                <w:sz w:val="22"/>
              </w:rPr>
              <w:t>+</w:t>
            </w:r>
          </w:p>
          <w:p w14:paraId="2B4389F4" w14:textId="749593E0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tetracycline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500mg 4 times daily </w:t>
            </w:r>
            <w:r w:rsidR="009D3D4F" w:rsidRPr="009D3D4F">
              <w:rPr>
                <w:rFonts w:ascii="Arial" w:hAnsi="Arial" w:cs="Arial"/>
                <w:color w:val="FF0000"/>
                <w:sz w:val="22"/>
              </w:rPr>
              <w:t>(</w:t>
            </w:r>
            <w:r w:rsidR="009D3D4F">
              <w:rPr>
                <w:rFonts w:ascii="Arial" w:hAnsi="Arial" w:cs="Arial"/>
                <w:color w:val="FF0000"/>
                <w:sz w:val="22"/>
              </w:rPr>
              <w:t xml:space="preserve">GI upset, photosensitivity) </w:t>
            </w:r>
            <w:r>
              <w:rPr>
                <w:rFonts w:ascii="Arial" w:hAnsi="Arial" w:cs="Arial"/>
                <w:b/>
                <w:bCs/>
                <w:sz w:val="22"/>
              </w:rPr>
              <w:t>+</w:t>
            </w:r>
          </w:p>
          <w:p w14:paraId="591014A7" w14:textId="3E1ABF06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PPI BID (</w:t>
            </w:r>
            <w:r w:rsidRPr="00AF7FD2">
              <w:rPr>
                <w:rFonts w:ascii="Arial" w:hAnsi="Arial" w:cs="Arial"/>
                <w:color w:val="FF0000"/>
                <w:sz w:val="22"/>
              </w:rPr>
              <w:t>except esomeprazole</w:t>
            </w:r>
            <w:r w:rsidR="00AF7FD2" w:rsidRPr="00AF7FD2">
              <w:rPr>
                <w:rFonts w:ascii="Arial" w:hAnsi="Arial" w:cs="Arial"/>
                <w:color w:val="FF0000"/>
                <w:sz w:val="22"/>
              </w:rPr>
              <w:t>-only once/day</w:t>
            </w:r>
            <w:r>
              <w:rPr>
                <w:rFonts w:ascii="Arial" w:hAnsi="Arial" w:cs="Arial"/>
                <w:sz w:val="22"/>
              </w:rPr>
              <w:t>) or ranitidine 150mg BID</w:t>
            </w:r>
          </w:p>
        </w:tc>
        <w:tc>
          <w:tcPr>
            <w:tcW w:w="1800" w:type="dxa"/>
          </w:tcPr>
          <w:p w14:paraId="58F541A7" w14:textId="28436F8A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10- 14 days</w:t>
            </w:r>
            <w:r w:rsidR="00AF7FD2">
              <w:rPr>
                <w:rFonts w:ascii="Arial" w:hAnsi="Arial" w:cs="Arial"/>
                <w:sz w:val="22"/>
              </w:rPr>
              <w:t xml:space="preserve"> </w:t>
            </w:r>
            <w:r w:rsidR="00AF7FD2" w:rsidRPr="00AF7FD2">
              <w:rPr>
                <w:rFonts w:ascii="Arial" w:hAnsi="Arial" w:cs="Arial"/>
                <w:color w:val="FF0000"/>
                <w:sz w:val="22"/>
              </w:rPr>
              <w:t xml:space="preserve">(14 day Tx is </w:t>
            </w:r>
            <w:proofErr w:type="spellStart"/>
            <w:r w:rsidR="00AF7FD2" w:rsidRPr="00AF7FD2">
              <w:rPr>
                <w:rFonts w:ascii="Arial" w:hAnsi="Arial" w:cs="Arial"/>
                <w:color w:val="FF0000"/>
                <w:sz w:val="22"/>
              </w:rPr>
              <w:t>preffered</w:t>
            </w:r>
            <w:proofErr w:type="spellEnd"/>
            <w:r w:rsidR="00AF7FD2" w:rsidRPr="00AF7FD2">
              <w:rPr>
                <w:rFonts w:ascii="Arial" w:hAnsi="Arial" w:cs="Arial"/>
                <w:color w:val="FF0000"/>
                <w:sz w:val="22"/>
              </w:rPr>
              <w:t>)</w:t>
            </w:r>
          </w:p>
        </w:tc>
        <w:tc>
          <w:tcPr>
            <w:tcW w:w="2160" w:type="dxa"/>
          </w:tcPr>
          <w:p w14:paraId="53E48E97" w14:textId="77777777" w:rsidR="00304AC2" w:rsidRDefault="00304AC2" w:rsidP="00714D36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70-90%</w:t>
            </w:r>
          </w:p>
        </w:tc>
      </w:tr>
    </w:tbl>
    <w:p w14:paraId="49986104" w14:textId="74EBC0AF" w:rsidR="00304AC2" w:rsidRPr="00AF7FD2" w:rsidRDefault="00527321" w:rsidP="00714D36">
      <w:pPr>
        <w:pStyle w:val="BodyTextIndent"/>
        <w:spacing w:line="360" w:lineRule="auto"/>
        <w:ind w:firstLine="0"/>
        <w:rPr>
          <w:color w:val="FF0000"/>
        </w:rPr>
      </w:pPr>
      <w:r>
        <w:rPr>
          <w:color w:val="FF0000"/>
        </w:rPr>
        <w:t>*</w:t>
      </w:r>
      <w:proofErr w:type="spellStart"/>
      <w:proofErr w:type="gramStart"/>
      <w:r w:rsidR="00AF7FD2" w:rsidRPr="00AF7FD2">
        <w:rPr>
          <w:color w:val="FF0000"/>
        </w:rPr>
        <w:t>dexlansomprozole</w:t>
      </w:r>
      <w:proofErr w:type="spellEnd"/>
      <w:proofErr w:type="gramEnd"/>
      <w:r w:rsidR="00AF7FD2" w:rsidRPr="00AF7FD2">
        <w:rPr>
          <w:color w:val="FF0000"/>
        </w:rPr>
        <w:t xml:space="preserve"> is NOT INDICATED and will not be in table!</w:t>
      </w:r>
    </w:p>
    <w:p w14:paraId="75CEAD5F" w14:textId="77777777" w:rsidR="00304AC2" w:rsidRDefault="00304AC2" w:rsidP="005A4D85">
      <w:pPr>
        <w:pStyle w:val="BodyTextIndent"/>
        <w:spacing w:line="360" w:lineRule="auto"/>
        <w:ind w:firstLine="0"/>
      </w:pPr>
      <w:r>
        <w:t>*PPI doses: Lansoprazole 30mg BID, Omeprazole 20mg BID, pantoprazole 40mg BID, rabeprazole 20mg BID, esomeprazole 40mg daily</w:t>
      </w:r>
    </w:p>
    <w:p w14:paraId="1FBFE02E" w14:textId="77777777" w:rsidR="00CB6771" w:rsidRDefault="00CB677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14DDFAF8" w14:textId="1AF40DBE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Combination products</w:t>
      </w:r>
    </w:p>
    <w:p w14:paraId="22F1AD79" w14:textId="77777777" w:rsidR="00304AC2" w:rsidRDefault="00304AC2" w:rsidP="00714D36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Pylera (bismuth </w:t>
      </w:r>
      <w:proofErr w:type="spellStart"/>
      <w:r>
        <w:rPr>
          <w:rFonts w:ascii="Arial" w:hAnsi="Arial" w:cs="Arial"/>
          <w:sz w:val="22"/>
        </w:rPr>
        <w:t>subcitrate</w:t>
      </w:r>
      <w:proofErr w:type="spellEnd"/>
      <w:r>
        <w:rPr>
          <w:rFonts w:ascii="Arial" w:hAnsi="Arial" w:cs="Arial"/>
          <w:sz w:val="22"/>
        </w:rPr>
        <w:t xml:space="preserve"> potassium 140mg, metronidazole 125mg, tetracycline 125mg) </w:t>
      </w:r>
    </w:p>
    <w:p w14:paraId="2C98C955" w14:textId="77777777" w:rsidR="00304AC2" w:rsidRDefault="005A4D85" w:rsidP="00714D36">
      <w:pPr>
        <w:numPr>
          <w:ilvl w:val="1"/>
          <w:numId w:val="3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Dose: 3 tabs four times daily</w:t>
      </w:r>
      <w:r w:rsidR="00304AC2">
        <w:rPr>
          <w:rFonts w:ascii="Arial" w:hAnsi="Arial" w:cs="Arial"/>
          <w:sz w:val="22"/>
        </w:rPr>
        <w:t xml:space="preserve"> + PPI BID</w:t>
      </w:r>
    </w:p>
    <w:p w14:paraId="7C709B91" w14:textId="77777777" w:rsidR="00304AC2" w:rsidRDefault="00304AC2" w:rsidP="00714D36">
      <w:pPr>
        <w:numPr>
          <w:ilvl w:val="1"/>
          <w:numId w:val="3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risk with ASA allergy</w:t>
      </w:r>
    </w:p>
    <w:p w14:paraId="070CF3C7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16F0D490" w14:textId="77777777" w:rsidR="00304AC2" w:rsidRDefault="00304AC2" w:rsidP="00714D36">
      <w:pPr>
        <w:numPr>
          <w:ilvl w:val="0"/>
          <w:numId w:val="3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Helidac (2 bismuth subsalicylate 262mg chewable tabs, 1 metronidazole 500mg, 1 tetracycline 500mg capsule= 4 tabs/each dose)</w:t>
      </w:r>
    </w:p>
    <w:p w14:paraId="301765CA" w14:textId="77777777" w:rsidR="00304AC2" w:rsidRDefault="00304AC2" w:rsidP="00714D36">
      <w:pPr>
        <w:numPr>
          <w:ilvl w:val="1"/>
          <w:numId w:val="3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14 prepackaged dosing blister cards</w:t>
      </w:r>
    </w:p>
    <w:p w14:paraId="0CA8C92F" w14:textId="77777777" w:rsidR="00304AC2" w:rsidRPr="005A4D85" w:rsidRDefault="00304AC2" w:rsidP="00714D36">
      <w:pPr>
        <w:numPr>
          <w:ilvl w:val="1"/>
          <w:numId w:val="38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Dose: one dose (4 pills) 4 times daily + PPI or H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>RA BID</w:t>
      </w:r>
    </w:p>
    <w:p w14:paraId="423AB889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61C63CE7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Option (requires validation in US, </w:t>
      </w:r>
      <w:r>
        <w:rPr>
          <w:rFonts w:ascii="Arial" w:hAnsi="Arial" w:cs="Arial"/>
          <w:b/>
          <w:bCs/>
          <w:sz w:val="22"/>
        </w:rPr>
        <w:t>not first line</w:t>
      </w:r>
      <w:r w:rsidR="00242181">
        <w:rPr>
          <w:rFonts w:ascii="Arial" w:hAnsi="Arial" w:cs="Arial"/>
          <w:sz w:val="22"/>
        </w:rPr>
        <w:t>) -</w:t>
      </w:r>
      <w:r>
        <w:rPr>
          <w:rFonts w:ascii="Arial" w:hAnsi="Arial" w:cs="Arial"/>
          <w:sz w:val="22"/>
        </w:rPr>
        <w:t xml:space="preserve"> sequential therapy: </w:t>
      </w:r>
    </w:p>
    <w:p w14:paraId="0D1B61A8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PPI </w:t>
      </w:r>
      <w:r>
        <w:rPr>
          <w:rFonts w:ascii="Arial" w:hAnsi="Arial" w:cs="Arial"/>
          <w:b/>
          <w:bCs/>
          <w:sz w:val="22"/>
        </w:rPr>
        <w:t>+</w:t>
      </w:r>
      <w:r>
        <w:rPr>
          <w:rFonts w:ascii="Arial" w:hAnsi="Arial" w:cs="Arial"/>
          <w:sz w:val="22"/>
        </w:rPr>
        <w:t xml:space="preserve"> amoxicillin for 5 days, </w:t>
      </w:r>
      <w:r>
        <w:rPr>
          <w:rFonts w:ascii="Arial" w:hAnsi="Arial" w:cs="Arial"/>
          <w:sz w:val="22"/>
          <w:u w:val="single"/>
        </w:rPr>
        <w:t>then</w:t>
      </w:r>
      <w:r>
        <w:rPr>
          <w:rFonts w:ascii="Arial" w:hAnsi="Arial" w:cs="Arial"/>
          <w:sz w:val="22"/>
        </w:rPr>
        <w:t xml:space="preserve"> PPI </w:t>
      </w:r>
      <w:r>
        <w:rPr>
          <w:rFonts w:ascii="Arial" w:hAnsi="Arial" w:cs="Arial"/>
          <w:b/>
          <w:bCs/>
          <w:sz w:val="22"/>
        </w:rPr>
        <w:t>+</w:t>
      </w:r>
      <w:r>
        <w:rPr>
          <w:rFonts w:ascii="Arial" w:hAnsi="Arial" w:cs="Arial"/>
          <w:sz w:val="22"/>
        </w:rPr>
        <w:t xml:space="preserve"> clarithromycin </w:t>
      </w:r>
      <w:r>
        <w:rPr>
          <w:rFonts w:ascii="Arial" w:hAnsi="Arial" w:cs="Arial"/>
          <w:b/>
          <w:bCs/>
          <w:sz w:val="22"/>
        </w:rPr>
        <w:t>+</w:t>
      </w:r>
      <w:r>
        <w:rPr>
          <w:rFonts w:ascii="Arial" w:hAnsi="Arial" w:cs="Arial"/>
          <w:sz w:val="22"/>
        </w:rPr>
        <w:t xml:space="preserve"> metronidazole for 5 days</w:t>
      </w:r>
    </w:p>
    <w:p w14:paraId="6E7E278B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78C00491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797C1F4A" w14:textId="77777777" w:rsidR="00304AC2" w:rsidRDefault="00C642F2" w:rsidP="00714D36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Eradication confirmation: test of cure</w:t>
      </w:r>
    </w:p>
    <w:p w14:paraId="29C95A63" w14:textId="77777777" w:rsidR="00C642F2" w:rsidRPr="00C642F2" w:rsidRDefault="00C642F2" w:rsidP="00C642F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Cs/>
          <w:sz w:val="22"/>
        </w:rPr>
        <w:t>Treatment fails in about 20% of patients</w:t>
      </w:r>
    </w:p>
    <w:p w14:paraId="2C9D4F39" w14:textId="3763DD5D" w:rsidR="00304AC2" w:rsidRPr="004066A3" w:rsidRDefault="00C642F2" w:rsidP="00714D36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FF0000"/>
          <w:sz w:val="22"/>
        </w:rPr>
      </w:pPr>
      <w:r w:rsidRPr="00C642F2">
        <w:rPr>
          <w:rFonts w:ascii="Arial" w:hAnsi="Arial" w:cs="Arial"/>
          <w:bCs/>
          <w:sz w:val="22"/>
        </w:rPr>
        <w:t>Test at least 4 weeks after completion of treatment</w:t>
      </w:r>
      <w:r w:rsidR="004066A3">
        <w:rPr>
          <w:rFonts w:ascii="Arial" w:hAnsi="Arial" w:cs="Arial"/>
          <w:bCs/>
          <w:sz w:val="22"/>
        </w:rPr>
        <w:t xml:space="preserve"> </w:t>
      </w:r>
      <w:r w:rsidR="004066A3" w:rsidRPr="004066A3">
        <w:rPr>
          <w:rFonts w:ascii="Arial" w:hAnsi="Arial" w:cs="Arial"/>
          <w:bCs/>
          <w:color w:val="FF0000"/>
          <w:sz w:val="22"/>
        </w:rPr>
        <w:t>(due to possible PPI</w:t>
      </w:r>
      <w:r w:rsidR="004066A3">
        <w:rPr>
          <w:rFonts w:ascii="Arial" w:hAnsi="Arial" w:cs="Arial"/>
          <w:bCs/>
          <w:color w:val="FF0000"/>
          <w:sz w:val="22"/>
        </w:rPr>
        <w:t xml:space="preserve"> test</w:t>
      </w:r>
      <w:r w:rsidR="004066A3" w:rsidRPr="004066A3">
        <w:rPr>
          <w:rFonts w:ascii="Arial" w:hAnsi="Arial" w:cs="Arial"/>
          <w:bCs/>
          <w:color w:val="FF0000"/>
          <w:sz w:val="22"/>
        </w:rPr>
        <w:t xml:space="preserve"> interactions)</w:t>
      </w:r>
    </w:p>
    <w:p w14:paraId="1F081A5B" w14:textId="1E8E78B5" w:rsidR="00CB6771" w:rsidRPr="00CB6771" w:rsidRDefault="00CB6771" w:rsidP="00714D36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FF0000"/>
          <w:sz w:val="22"/>
        </w:rPr>
      </w:pPr>
      <w:r w:rsidRPr="00CB6771">
        <w:rPr>
          <w:rFonts w:ascii="Arial" w:hAnsi="Arial" w:cs="Arial"/>
          <w:bCs/>
          <w:color w:val="FF0000"/>
          <w:sz w:val="22"/>
        </w:rPr>
        <w:t>Recommendations:</w:t>
      </w:r>
    </w:p>
    <w:p w14:paraId="14E7E024" w14:textId="0780FEB9" w:rsidR="00CB6771" w:rsidRPr="00CB6771" w:rsidRDefault="00CB6771" w:rsidP="00CB6771">
      <w:pPr>
        <w:pStyle w:val="ListParagraph"/>
        <w:numPr>
          <w:ilvl w:val="1"/>
          <w:numId w:val="40"/>
        </w:numPr>
        <w:spacing w:line="360" w:lineRule="auto"/>
        <w:rPr>
          <w:rFonts w:ascii="Arial" w:hAnsi="Arial" w:cs="Arial"/>
          <w:color w:val="FF0000"/>
          <w:sz w:val="22"/>
        </w:rPr>
      </w:pPr>
      <w:r w:rsidRPr="00CB6771">
        <w:rPr>
          <w:rFonts w:ascii="Arial" w:hAnsi="Arial" w:cs="Arial"/>
          <w:bCs/>
          <w:color w:val="FF0000"/>
          <w:sz w:val="22"/>
          <w:u w:val="single"/>
        </w:rPr>
        <w:t>Asymptomatic patients</w:t>
      </w:r>
      <w:r w:rsidRPr="00CB6771">
        <w:rPr>
          <w:rFonts w:ascii="Arial" w:hAnsi="Arial" w:cs="Arial"/>
          <w:bCs/>
          <w:color w:val="FF0000"/>
          <w:sz w:val="22"/>
        </w:rPr>
        <w:t>: urease breath test or stool</w:t>
      </w:r>
      <w:r w:rsidR="004066A3">
        <w:rPr>
          <w:rFonts w:ascii="Arial" w:hAnsi="Arial" w:cs="Arial"/>
          <w:bCs/>
          <w:color w:val="FF0000"/>
          <w:sz w:val="22"/>
        </w:rPr>
        <w:t xml:space="preserve"> antigen test to confirm eradi</w:t>
      </w:r>
      <w:r w:rsidRPr="00CB6771">
        <w:rPr>
          <w:rFonts w:ascii="Arial" w:hAnsi="Arial" w:cs="Arial"/>
          <w:bCs/>
          <w:color w:val="FF0000"/>
          <w:sz w:val="22"/>
        </w:rPr>
        <w:t>cation</w:t>
      </w:r>
    </w:p>
    <w:p w14:paraId="00C7D558" w14:textId="77777777" w:rsidR="00AF65DB" w:rsidRPr="00AF65DB" w:rsidRDefault="00CB6771" w:rsidP="00714D36">
      <w:pPr>
        <w:pStyle w:val="ListParagraph"/>
        <w:numPr>
          <w:ilvl w:val="1"/>
          <w:numId w:val="40"/>
        </w:numPr>
        <w:spacing w:line="360" w:lineRule="auto"/>
        <w:rPr>
          <w:rFonts w:ascii="Arial" w:hAnsi="Arial" w:cs="Arial"/>
          <w:color w:val="FF0000"/>
          <w:sz w:val="22"/>
        </w:rPr>
      </w:pPr>
      <w:r w:rsidRPr="00CB6771">
        <w:rPr>
          <w:rFonts w:ascii="Arial" w:hAnsi="Arial" w:cs="Arial"/>
          <w:bCs/>
          <w:color w:val="FF0000"/>
          <w:sz w:val="22"/>
          <w:u w:val="single"/>
        </w:rPr>
        <w:t>Symptomatic patien</w:t>
      </w:r>
      <w:r w:rsidRPr="00CB6771">
        <w:rPr>
          <w:rFonts w:ascii="Arial" w:hAnsi="Arial" w:cs="Arial"/>
          <w:bCs/>
          <w:color w:val="FF0000"/>
          <w:sz w:val="22"/>
        </w:rPr>
        <w:t>ts</w:t>
      </w:r>
      <w:r>
        <w:rPr>
          <w:rFonts w:ascii="Arial" w:hAnsi="Arial" w:cs="Arial"/>
          <w:bCs/>
          <w:color w:val="FF0000"/>
          <w:sz w:val="22"/>
        </w:rPr>
        <w:t>:</w:t>
      </w:r>
      <w:r w:rsidRPr="00CB6771">
        <w:rPr>
          <w:rFonts w:ascii="Arial" w:hAnsi="Arial" w:cs="Arial"/>
          <w:bCs/>
          <w:color w:val="FF0000"/>
          <w:sz w:val="22"/>
        </w:rPr>
        <w:t xml:space="preserve"> repeat a course of antimicrobial and antisecretory Tx</w:t>
      </w:r>
    </w:p>
    <w:p w14:paraId="3916D8BB" w14:textId="0D5051DC" w:rsidR="00304AC2" w:rsidRPr="00AF65DB" w:rsidRDefault="00AF65DB" w:rsidP="00AF65DB">
      <w:pPr>
        <w:pStyle w:val="ListParagraph"/>
        <w:numPr>
          <w:ilvl w:val="2"/>
          <w:numId w:val="40"/>
        </w:numPr>
        <w:spacing w:line="360" w:lineRule="auto"/>
        <w:rPr>
          <w:rFonts w:ascii="Arial" w:hAnsi="Arial" w:cs="Arial"/>
          <w:color w:val="FF0000"/>
          <w:sz w:val="22"/>
        </w:rPr>
      </w:pPr>
      <w:r w:rsidRPr="00AF65DB">
        <w:rPr>
          <w:rFonts w:ascii="Arial" w:hAnsi="Arial" w:cs="Arial"/>
          <w:color w:val="FF0000"/>
          <w:sz w:val="22"/>
        </w:rPr>
        <w:t>Treatment fails in ~20% of patients</w:t>
      </w:r>
    </w:p>
    <w:p w14:paraId="3C856257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5727247D" w14:textId="77777777" w:rsidR="00AF65DB" w:rsidRDefault="00AF65DB">
      <w:pPr>
        <w:rPr>
          <w:rFonts w:ascii="Arial" w:hAnsi="Arial" w:cs="Arial"/>
          <w:b/>
          <w:bCs/>
          <w:sz w:val="22"/>
        </w:rPr>
      </w:pPr>
      <w:r>
        <w:rPr>
          <w:sz w:val="22"/>
        </w:rPr>
        <w:br w:type="page"/>
      </w:r>
    </w:p>
    <w:p w14:paraId="641A665D" w14:textId="5F2CDD00" w:rsidR="00304AC2" w:rsidRDefault="00304AC2" w:rsidP="00714D36">
      <w:pPr>
        <w:pStyle w:val="Heading2"/>
        <w:spacing w:line="360" w:lineRule="auto"/>
        <w:rPr>
          <w:sz w:val="22"/>
        </w:rPr>
      </w:pPr>
      <w:r>
        <w:rPr>
          <w:sz w:val="22"/>
        </w:rPr>
        <w:t>Salvage Therapy for H. pylori eradication</w:t>
      </w:r>
    </w:p>
    <w:p w14:paraId="63D5F7EB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 patients that fail triple </w:t>
      </w:r>
      <w:r w:rsidRPr="00C642F2">
        <w:rPr>
          <w:rFonts w:ascii="Arial" w:hAnsi="Arial" w:cs="Arial"/>
          <w:sz w:val="22"/>
          <w:u w:val="single"/>
        </w:rPr>
        <w:t>and</w:t>
      </w:r>
      <w:r>
        <w:rPr>
          <w:rFonts w:ascii="Arial" w:hAnsi="Arial" w:cs="Arial"/>
          <w:sz w:val="22"/>
        </w:rPr>
        <w:t xml:space="preserve"> quadruple therapy</w:t>
      </w:r>
    </w:p>
    <w:p w14:paraId="2294CF0F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41D84060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202A791F" w14:textId="77777777" w:rsidR="00304AC2" w:rsidRDefault="00304AC2" w:rsidP="00714D36">
      <w:pPr>
        <w:pStyle w:val="BodyText"/>
        <w:spacing w:line="360" w:lineRule="auto"/>
      </w:pPr>
      <w:r>
        <w:t xml:space="preserve">Bismuth subsalicylate 525mg </w:t>
      </w:r>
      <w:proofErr w:type="spellStart"/>
      <w:r>
        <w:t>po</w:t>
      </w:r>
      <w:proofErr w:type="spellEnd"/>
      <w:r>
        <w:t xml:space="preserve"> 4 x daily </w:t>
      </w:r>
      <w:r>
        <w:rPr>
          <w:b/>
          <w:bCs/>
        </w:rPr>
        <w:t>OR</w:t>
      </w:r>
      <w:r>
        <w:t xml:space="preserve"> amoxicillin 1g BID </w:t>
      </w:r>
      <w:r>
        <w:rPr>
          <w:b/>
          <w:bCs/>
        </w:rPr>
        <w:t>+</w:t>
      </w:r>
      <w:r>
        <w:t xml:space="preserve"> </w:t>
      </w:r>
    </w:p>
    <w:p w14:paraId="1875505D" w14:textId="77777777" w:rsidR="00304AC2" w:rsidRDefault="00242181" w:rsidP="00714D36">
      <w:pPr>
        <w:pStyle w:val="BodyText"/>
        <w:spacing w:line="360" w:lineRule="auto"/>
      </w:pPr>
      <w:r>
        <w:t>Metronidazole</w:t>
      </w:r>
      <w:r w:rsidR="00304AC2">
        <w:t xml:space="preserve"> 250-500mg </w:t>
      </w:r>
      <w:proofErr w:type="spellStart"/>
      <w:r w:rsidR="00304AC2">
        <w:t>po</w:t>
      </w:r>
      <w:proofErr w:type="spellEnd"/>
      <w:r w:rsidR="00304AC2">
        <w:t xml:space="preserve"> 4 x daily </w:t>
      </w:r>
      <w:r w:rsidR="00304AC2">
        <w:rPr>
          <w:b/>
          <w:bCs/>
        </w:rPr>
        <w:t>OR</w:t>
      </w:r>
      <w:r w:rsidR="00304AC2">
        <w:t xml:space="preserve"> levofloxacin 250mg </w:t>
      </w:r>
      <w:proofErr w:type="spellStart"/>
      <w:r w:rsidR="00304AC2">
        <w:t>po</w:t>
      </w:r>
      <w:proofErr w:type="spellEnd"/>
      <w:r w:rsidR="00304AC2">
        <w:t xml:space="preserve"> BID </w:t>
      </w:r>
      <w:r w:rsidR="00304AC2">
        <w:rPr>
          <w:b/>
          <w:bCs/>
        </w:rPr>
        <w:t>+</w:t>
      </w:r>
      <w:r w:rsidR="00304AC2">
        <w:t xml:space="preserve"> </w:t>
      </w:r>
    </w:p>
    <w:p w14:paraId="6798B8CE" w14:textId="77777777" w:rsidR="00304AC2" w:rsidRDefault="00242181" w:rsidP="00714D36">
      <w:pPr>
        <w:pStyle w:val="BodyText"/>
        <w:spacing w:line="360" w:lineRule="auto"/>
      </w:pPr>
      <w:r>
        <w:t>Tetracycline</w:t>
      </w:r>
      <w:r w:rsidR="00304AC2">
        <w:t xml:space="preserve"> 500mgpo 4 x daily </w:t>
      </w:r>
      <w:r w:rsidR="00304AC2">
        <w:rPr>
          <w:b/>
          <w:bCs/>
        </w:rPr>
        <w:t>+</w:t>
      </w:r>
      <w:r w:rsidR="00304AC2">
        <w:t xml:space="preserve"> </w:t>
      </w:r>
    </w:p>
    <w:p w14:paraId="3178751C" w14:textId="0C30F1D4" w:rsidR="005A4D85" w:rsidRPr="00A12EF8" w:rsidRDefault="00304AC2" w:rsidP="00A12EF8">
      <w:pPr>
        <w:pStyle w:val="BodyText"/>
        <w:spacing w:line="360" w:lineRule="auto"/>
      </w:pPr>
      <w:r>
        <w:t>PPI BID (except esomeprazole) or H</w:t>
      </w:r>
      <w:r>
        <w:rPr>
          <w:vertAlign w:val="subscript"/>
        </w:rPr>
        <w:t>2</w:t>
      </w:r>
      <w:r>
        <w:t>RA BID</w:t>
      </w:r>
    </w:p>
    <w:p w14:paraId="753190AE" w14:textId="77777777" w:rsidR="005A4D85" w:rsidRDefault="005A4D85" w:rsidP="00714D3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988576E" w14:textId="77777777" w:rsidR="00304AC2" w:rsidRDefault="00304AC2" w:rsidP="00714D36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Case 1</w:t>
      </w:r>
    </w:p>
    <w:p w14:paraId="4E8EBFF2" w14:textId="77777777" w:rsidR="007D3B3B" w:rsidRPr="007D3B3B" w:rsidRDefault="005A4D85" w:rsidP="00714D36">
      <w:pPr>
        <w:spacing w:line="360" w:lineRule="auto"/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</w:t>
      </w:r>
      <w:r w:rsidR="00304AC2">
        <w:rPr>
          <w:rFonts w:ascii="Arial" w:hAnsi="Arial" w:cs="Arial"/>
          <w:sz w:val="22"/>
          <w:szCs w:val="22"/>
        </w:rPr>
        <w:t xml:space="preserve"> brings a prescription to your pharmacy. “I’ve got some infection in my stomach and an ulcer,” he tells you. </w:t>
      </w:r>
      <w:r w:rsidR="007D3B3B">
        <w:rPr>
          <w:rFonts w:ascii="Arial" w:hAnsi="Arial" w:cs="Arial"/>
          <w:sz w:val="22"/>
          <w:szCs w:val="22"/>
        </w:rPr>
        <w:t>His prescription says:</w:t>
      </w:r>
    </w:p>
    <w:p w14:paraId="55668E77" w14:textId="5BE61E59" w:rsidR="007D3B3B" w:rsidRDefault="007D3B3B" w:rsidP="00714D3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Esomeprazole</w:t>
      </w:r>
      <w:r w:rsidR="00A12E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40mg </w:t>
      </w:r>
      <w:proofErr w:type="spellStart"/>
      <w:r>
        <w:rPr>
          <w:rFonts w:ascii="Arial" w:hAnsi="Arial" w:cs="Arial"/>
          <w:sz w:val="22"/>
          <w:szCs w:val="22"/>
        </w:rPr>
        <w:t>po</w:t>
      </w:r>
      <w:proofErr w:type="spellEnd"/>
      <w:r>
        <w:rPr>
          <w:rFonts w:ascii="Arial" w:hAnsi="Arial" w:cs="Arial"/>
          <w:sz w:val="22"/>
          <w:szCs w:val="22"/>
        </w:rPr>
        <w:t xml:space="preserve"> daily</w:t>
      </w:r>
    </w:p>
    <w:p w14:paraId="5A74461E" w14:textId="1546BD68" w:rsidR="007D3B3B" w:rsidRDefault="007D3B3B" w:rsidP="00714D36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</w:t>
      </w:r>
      <w:r w:rsidR="00304AC2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arithromycin</w:t>
      </w:r>
      <w:r w:rsidR="00A12E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250mg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</w:t>
      </w:r>
      <w:proofErr w:type="spellEnd"/>
      <w:r>
        <w:rPr>
          <w:rFonts w:ascii="Arial" w:hAnsi="Arial" w:cs="Arial"/>
          <w:sz w:val="22"/>
          <w:szCs w:val="22"/>
        </w:rPr>
        <w:t xml:space="preserve"> BID</w:t>
      </w:r>
    </w:p>
    <w:p w14:paraId="39B2D367" w14:textId="77777777" w:rsidR="00304AC2" w:rsidRDefault="007D3B3B" w:rsidP="00714D3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Amoxicillin </w:t>
      </w:r>
      <w:proofErr w:type="spellStart"/>
      <w:r>
        <w:rPr>
          <w:rFonts w:ascii="Arial" w:hAnsi="Arial" w:cs="Arial"/>
          <w:sz w:val="22"/>
          <w:szCs w:val="22"/>
        </w:rPr>
        <w:t>po</w:t>
      </w:r>
      <w:proofErr w:type="spellEnd"/>
      <w:r>
        <w:rPr>
          <w:rFonts w:ascii="Arial" w:hAnsi="Arial" w:cs="Arial"/>
          <w:sz w:val="22"/>
          <w:szCs w:val="22"/>
        </w:rPr>
        <w:t xml:space="preserve"> 1g </w:t>
      </w:r>
      <w:proofErr w:type="gramStart"/>
      <w:r>
        <w:rPr>
          <w:rFonts w:ascii="Arial" w:hAnsi="Arial" w:cs="Arial"/>
          <w:sz w:val="22"/>
          <w:szCs w:val="22"/>
        </w:rPr>
        <w:t>BID</w:t>
      </w:r>
      <w:proofErr w:type="gramEnd"/>
    </w:p>
    <w:p w14:paraId="1C64DC7A" w14:textId="77777777" w:rsidR="00304AC2" w:rsidRDefault="007D3B3B" w:rsidP="00714D3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His profile</w:t>
      </w:r>
      <w:r w:rsidR="00304AC2">
        <w:rPr>
          <w:rFonts w:ascii="Arial" w:hAnsi="Arial" w:cs="Arial"/>
          <w:sz w:val="22"/>
          <w:szCs w:val="22"/>
        </w:rPr>
        <w:t xml:space="preserve"> has the </w:t>
      </w:r>
      <w:r>
        <w:rPr>
          <w:rFonts w:ascii="Arial" w:hAnsi="Arial" w:cs="Arial"/>
          <w:sz w:val="22"/>
          <w:szCs w:val="22"/>
        </w:rPr>
        <w:t xml:space="preserve">following notations: h/o </w:t>
      </w:r>
      <w:r w:rsidR="00304AC2">
        <w:rPr>
          <w:rFonts w:ascii="Arial" w:hAnsi="Arial" w:cs="Arial"/>
          <w:sz w:val="22"/>
          <w:szCs w:val="22"/>
        </w:rPr>
        <w:t>angioedema with lisinopril, allergy to eggs and penicillin.</w:t>
      </w:r>
    </w:p>
    <w:p w14:paraId="646B07CA" w14:textId="77777777" w:rsidR="00304AC2" w:rsidRDefault="007D3B3B" w:rsidP="00714D3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would you do before filling these prescriptions</w:t>
      </w:r>
      <w:r w:rsidR="00304AC2">
        <w:rPr>
          <w:rFonts w:ascii="Arial" w:hAnsi="Arial" w:cs="Arial"/>
          <w:sz w:val="22"/>
          <w:szCs w:val="22"/>
        </w:rPr>
        <w:t>?</w:t>
      </w:r>
    </w:p>
    <w:p w14:paraId="7916B78E" w14:textId="5537DDC2" w:rsidR="00304AC2" w:rsidRPr="00A12EF8" w:rsidRDefault="00A12EF8" w:rsidP="00714D36">
      <w:pPr>
        <w:spacing w:line="360" w:lineRule="auto"/>
        <w:rPr>
          <w:rFonts w:ascii="Arial" w:hAnsi="Arial" w:cs="Arial"/>
          <w:color w:val="FF0000"/>
          <w:sz w:val="22"/>
          <w:szCs w:val="22"/>
        </w:rPr>
      </w:pPr>
      <w:r w:rsidRPr="00A12EF8">
        <w:rPr>
          <w:rFonts w:ascii="Arial" w:hAnsi="Arial" w:cs="Arial"/>
          <w:color w:val="FF0000"/>
          <w:sz w:val="22"/>
          <w:szCs w:val="22"/>
        </w:rPr>
        <w:t xml:space="preserve">Investigate the PCN allergy: </w:t>
      </w:r>
      <w:r w:rsidR="000142B3">
        <w:rPr>
          <w:rFonts w:ascii="Arial" w:hAnsi="Arial" w:cs="Arial"/>
          <w:color w:val="FF0000"/>
          <w:sz w:val="22"/>
          <w:szCs w:val="22"/>
        </w:rPr>
        <w:tab/>
      </w:r>
      <w:r w:rsidR="00101867">
        <w:rPr>
          <w:rFonts w:ascii="Arial" w:hAnsi="Arial" w:cs="Arial"/>
          <w:color w:val="FF0000"/>
          <w:sz w:val="22"/>
          <w:szCs w:val="22"/>
        </w:rPr>
        <w:t xml:space="preserve">call MD to recommend changing amoxicillin to </w:t>
      </w:r>
      <w:proofErr w:type="spellStart"/>
      <w:r w:rsidR="00101867">
        <w:rPr>
          <w:rFonts w:ascii="Arial" w:hAnsi="Arial" w:cs="Arial"/>
          <w:color w:val="FF0000"/>
          <w:sz w:val="22"/>
          <w:szCs w:val="22"/>
        </w:rPr>
        <w:t>metroindazole</w:t>
      </w:r>
      <w:proofErr w:type="spellEnd"/>
    </w:p>
    <w:p w14:paraId="778CC75B" w14:textId="74407370" w:rsidR="00304AC2" w:rsidRPr="00547B50" w:rsidRDefault="00547B50" w:rsidP="00714D36">
      <w:pPr>
        <w:pStyle w:val="tabletitle"/>
        <w:spacing w:before="0" w:beforeAutospacing="0" w:after="0" w:afterAutospacing="0" w:line="360" w:lineRule="auto"/>
        <w:rPr>
          <w:rFonts w:ascii="Arial" w:eastAsia="Times New Roman" w:hAnsi="Arial"/>
          <w:color w:val="FF0000"/>
          <w:sz w:val="22"/>
          <w:szCs w:val="22"/>
        </w:rPr>
      </w:pPr>
      <w:r w:rsidRPr="00547B50">
        <w:rPr>
          <w:rFonts w:ascii="Arial" w:eastAsia="Times New Roman" w:hAnsi="Arial"/>
          <w:color w:val="FF0000"/>
          <w:sz w:val="22"/>
          <w:szCs w:val="22"/>
        </w:rPr>
        <w:t>Clarithromycin should be 500 mg PO BID</w:t>
      </w:r>
    </w:p>
    <w:p w14:paraId="6EC8E92A" w14:textId="77777777" w:rsidR="00304AC2" w:rsidRDefault="00304AC2" w:rsidP="00714D36">
      <w:pPr>
        <w:pStyle w:val="tabletitle"/>
        <w:spacing w:before="0" w:beforeAutospacing="0" w:after="0" w:afterAutospacing="0" w:line="360" w:lineRule="auto"/>
        <w:rPr>
          <w:rFonts w:ascii="Arial" w:eastAsia="Times New Roman" w:hAnsi="Arial"/>
          <w:sz w:val="22"/>
          <w:szCs w:val="22"/>
        </w:rPr>
      </w:pPr>
    </w:p>
    <w:p w14:paraId="2CA5DAE2" w14:textId="77777777" w:rsidR="00304AC2" w:rsidRDefault="007D3B3B" w:rsidP="00714D36">
      <w:pPr>
        <w:pStyle w:val="tabletitle"/>
        <w:spacing w:before="0" w:beforeAutospacing="0" w:after="0" w:afterAutospacing="0" w:line="360" w:lineRule="auto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>You also notice that the doctor</w:t>
      </w:r>
      <w:r w:rsidR="009A7732">
        <w:rPr>
          <w:rFonts w:ascii="Arial" w:eastAsia="Times New Roman" w:hAnsi="Arial"/>
          <w:sz w:val="22"/>
          <w:szCs w:val="22"/>
        </w:rPr>
        <w:t xml:space="preserve"> forgot the quantity fo</w:t>
      </w:r>
      <w:r w:rsidR="00850E21">
        <w:rPr>
          <w:rFonts w:ascii="Arial" w:eastAsia="Times New Roman" w:hAnsi="Arial"/>
          <w:sz w:val="22"/>
          <w:szCs w:val="22"/>
        </w:rPr>
        <w:t>r each medication. W</w:t>
      </w:r>
      <w:r w:rsidR="009A7732">
        <w:rPr>
          <w:rFonts w:ascii="Arial" w:eastAsia="Times New Roman" w:hAnsi="Arial"/>
          <w:sz w:val="22"/>
          <w:szCs w:val="22"/>
        </w:rPr>
        <w:t xml:space="preserve">hat is </w:t>
      </w:r>
      <w:r w:rsidR="00850E21">
        <w:rPr>
          <w:rFonts w:ascii="Arial" w:eastAsia="Times New Roman" w:hAnsi="Arial"/>
          <w:sz w:val="22"/>
          <w:szCs w:val="22"/>
        </w:rPr>
        <w:t>your recommendation for duration of therapy</w:t>
      </w:r>
      <w:r w:rsidR="00304AC2">
        <w:rPr>
          <w:rFonts w:ascii="Arial" w:eastAsia="Times New Roman" w:hAnsi="Arial"/>
          <w:sz w:val="22"/>
          <w:szCs w:val="22"/>
        </w:rPr>
        <w:t>?</w:t>
      </w:r>
    </w:p>
    <w:p w14:paraId="71CAD5DB" w14:textId="2114171C" w:rsidR="00304AC2" w:rsidRPr="00FC6E09" w:rsidRDefault="00FC6E09" w:rsidP="00714D36">
      <w:pPr>
        <w:pStyle w:val="BodyText"/>
        <w:spacing w:line="360" w:lineRule="auto"/>
        <w:rPr>
          <w:color w:val="FF0000"/>
          <w:szCs w:val="22"/>
        </w:rPr>
      </w:pPr>
      <w:r>
        <w:rPr>
          <w:color w:val="FF0000"/>
          <w:szCs w:val="22"/>
        </w:rPr>
        <w:t>DOT = 14 days….</w:t>
      </w:r>
    </w:p>
    <w:p w14:paraId="0D7B36E3" w14:textId="77777777" w:rsidR="00304AC2" w:rsidRDefault="00304AC2" w:rsidP="00714D36">
      <w:pPr>
        <w:pStyle w:val="BodyText"/>
        <w:spacing w:line="360" w:lineRule="auto"/>
      </w:pPr>
    </w:p>
    <w:p w14:paraId="4AF54D8C" w14:textId="77777777" w:rsidR="00850E21" w:rsidRDefault="00850E21" w:rsidP="00714D36">
      <w:pPr>
        <w:pStyle w:val="BodyText"/>
        <w:spacing w:line="360" w:lineRule="auto"/>
      </w:pPr>
    </w:p>
    <w:p w14:paraId="3FACDEB5" w14:textId="77777777" w:rsidR="00304AC2" w:rsidRDefault="00304AC2" w:rsidP="00714D36">
      <w:pPr>
        <w:pStyle w:val="BodyText"/>
        <w:spacing w:line="360" w:lineRule="auto"/>
        <w:rPr>
          <w:b/>
          <w:bCs/>
        </w:rPr>
      </w:pPr>
    </w:p>
    <w:p w14:paraId="65E8A057" w14:textId="77777777" w:rsidR="005A4D85" w:rsidRDefault="005A4D85" w:rsidP="00714D36">
      <w:pPr>
        <w:pStyle w:val="BodyText"/>
        <w:spacing w:line="360" w:lineRule="auto"/>
        <w:rPr>
          <w:b/>
          <w:bCs/>
        </w:rPr>
      </w:pPr>
    </w:p>
    <w:p w14:paraId="6B15FA4F" w14:textId="77777777" w:rsidR="00FC6E09" w:rsidRDefault="00304AC2" w:rsidP="00714D36">
      <w:p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ab/>
      </w:r>
    </w:p>
    <w:p w14:paraId="72F283F2" w14:textId="77777777" w:rsidR="00FC6E09" w:rsidRDefault="00FC6E09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br w:type="page"/>
      </w:r>
    </w:p>
    <w:p w14:paraId="285C1A99" w14:textId="45308F33" w:rsidR="00304AC2" w:rsidRDefault="00304AC2" w:rsidP="00714D36">
      <w:pPr>
        <w:spacing w:line="360" w:lineRule="auto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t>NSAID-induced ulcers</w:t>
      </w:r>
    </w:p>
    <w:p w14:paraId="7075361F" w14:textId="77777777" w:rsidR="00304AC2" w:rsidRDefault="00304AC2" w:rsidP="00714D36">
      <w:pPr>
        <w:numPr>
          <w:ilvl w:val="0"/>
          <w:numId w:val="21"/>
        </w:numPr>
        <w:tabs>
          <w:tab w:val="clear" w:pos="2160"/>
          <w:tab w:val="left" w:pos="1170"/>
          <w:tab w:val="num" w:pos="1530"/>
        </w:tabs>
        <w:spacing w:line="360" w:lineRule="auto"/>
        <w:ind w:left="1440" w:hanging="63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Primary therapy</w:t>
      </w:r>
    </w:p>
    <w:p w14:paraId="5BAA3B98" w14:textId="77777777" w:rsidR="00304AC2" w:rsidRDefault="00304AC2" w:rsidP="00714D36">
      <w:pPr>
        <w:numPr>
          <w:ilvl w:val="1"/>
          <w:numId w:val="21"/>
        </w:numPr>
        <w:tabs>
          <w:tab w:val="left" w:pos="1170"/>
          <w:tab w:val="num" w:pos="1440"/>
        </w:tabs>
        <w:spacing w:line="360" w:lineRule="auto"/>
        <w:ind w:left="1440" w:hanging="270"/>
        <w:rPr>
          <w:rFonts w:ascii="Arial" w:hAnsi="Arial" w:cs="Arial"/>
          <w:sz w:val="22"/>
        </w:rPr>
      </w:pPr>
      <w:r w:rsidRPr="00FC6E09">
        <w:rPr>
          <w:rFonts w:ascii="Arial" w:hAnsi="Arial" w:cs="Arial"/>
          <w:sz w:val="22"/>
          <w:u w:val="single"/>
        </w:rPr>
        <w:t>Discontinue</w:t>
      </w:r>
      <w:r>
        <w:rPr>
          <w:rFonts w:ascii="Arial" w:hAnsi="Arial" w:cs="Arial"/>
          <w:sz w:val="22"/>
        </w:rPr>
        <w:t xml:space="preserve"> NSAID use</w:t>
      </w:r>
    </w:p>
    <w:p w14:paraId="2CBD2BA2" w14:textId="2C45101E" w:rsidR="00304AC2" w:rsidRPr="00676F07" w:rsidRDefault="00304AC2" w:rsidP="007D3B3B">
      <w:pPr>
        <w:numPr>
          <w:ilvl w:val="0"/>
          <w:numId w:val="21"/>
        </w:numPr>
        <w:tabs>
          <w:tab w:val="left" w:pos="1170"/>
          <w:tab w:val="num" w:pos="2880"/>
        </w:tabs>
        <w:spacing w:line="360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Consider alternative analgesic</w:t>
      </w:r>
      <w:r w:rsidR="00676F07">
        <w:rPr>
          <w:rFonts w:ascii="Arial" w:hAnsi="Arial" w:cs="Arial"/>
          <w:sz w:val="22"/>
        </w:rPr>
        <w:t xml:space="preserve"> (</w:t>
      </w:r>
      <w:r w:rsidR="00676F07" w:rsidRPr="00676F07">
        <w:rPr>
          <w:rFonts w:ascii="Arial" w:hAnsi="Arial" w:cs="Arial"/>
          <w:color w:val="FF0000"/>
          <w:sz w:val="22"/>
        </w:rPr>
        <w:t>acetaminophen, tramadol, narcotic analgesics, if appropriate)</w:t>
      </w:r>
    </w:p>
    <w:p w14:paraId="5AA76E5A" w14:textId="4A69538E" w:rsidR="00304AC2" w:rsidRPr="00FC6E09" w:rsidRDefault="00304AC2" w:rsidP="00FC6E09">
      <w:pPr>
        <w:numPr>
          <w:ilvl w:val="0"/>
          <w:numId w:val="21"/>
        </w:numPr>
        <w:tabs>
          <w:tab w:val="left" w:pos="1170"/>
          <w:tab w:val="num" w:pos="288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COX-2 inhibitor</w:t>
      </w:r>
      <w:r w:rsidR="00676F07">
        <w:rPr>
          <w:rFonts w:ascii="Arial" w:hAnsi="Arial" w:cs="Arial"/>
          <w:sz w:val="22"/>
        </w:rPr>
        <w:t xml:space="preserve"> </w:t>
      </w:r>
      <w:r w:rsidR="00676F07" w:rsidRPr="00676F07">
        <w:rPr>
          <w:rFonts w:ascii="Arial" w:hAnsi="Arial" w:cs="Arial"/>
          <w:color w:val="FF0000"/>
          <w:sz w:val="22"/>
        </w:rPr>
        <w:t>(ONLY Celebrex</w:t>
      </w:r>
      <w:r w:rsidR="00676F07">
        <w:rPr>
          <w:rFonts w:ascii="Arial" w:hAnsi="Arial" w:cs="Arial"/>
          <w:sz w:val="22"/>
        </w:rPr>
        <w:t xml:space="preserve">) </w:t>
      </w:r>
      <w:r>
        <w:rPr>
          <w:rFonts w:ascii="Arial" w:hAnsi="Arial" w:cs="Arial"/>
          <w:sz w:val="22"/>
        </w:rPr>
        <w:t xml:space="preserve">may be </w:t>
      </w:r>
      <w:proofErr w:type="gramStart"/>
      <w:r>
        <w:rPr>
          <w:rFonts w:ascii="Arial" w:hAnsi="Arial" w:cs="Arial"/>
          <w:sz w:val="22"/>
        </w:rPr>
        <w:t>used</w:t>
      </w:r>
      <w:proofErr w:type="gramEnd"/>
      <w:r>
        <w:rPr>
          <w:rFonts w:ascii="Arial" w:hAnsi="Arial" w:cs="Arial"/>
          <w:sz w:val="22"/>
        </w:rPr>
        <w:t xml:space="preserve"> as an alternative to a nonselective</w:t>
      </w:r>
      <w:r w:rsidR="007D3B3B">
        <w:rPr>
          <w:rFonts w:ascii="Arial" w:hAnsi="Arial" w:cs="Arial"/>
          <w:sz w:val="22"/>
        </w:rPr>
        <w:t xml:space="preserve"> </w:t>
      </w:r>
      <w:r w:rsidRPr="007D3B3B">
        <w:rPr>
          <w:rFonts w:ascii="Arial" w:hAnsi="Arial" w:cs="Arial"/>
          <w:sz w:val="22"/>
        </w:rPr>
        <w:t xml:space="preserve">NSAID- risk of </w:t>
      </w:r>
      <w:r w:rsidRPr="00676F07">
        <w:rPr>
          <w:rFonts w:ascii="Arial" w:hAnsi="Arial" w:cs="Arial"/>
          <w:sz w:val="22"/>
          <w:u w:val="single"/>
        </w:rPr>
        <w:t>adverse cardiovascular effects</w:t>
      </w:r>
      <w:r w:rsidRPr="007D3B3B">
        <w:rPr>
          <w:rFonts w:ascii="Arial" w:hAnsi="Arial" w:cs="Arial"/>
          <w:sz w:val="22"/>
        </w:rPr>
        <w:t xml:space="preserve"> must be weighted against the benefits</w:t>
      </w:r>
      <w:r w:rsidR="00676F07">
        <w:rPr>
          <w:rFonts w:ascii="Arial" w:hAnsi="Arial" w:cs="Arial"/>
          <w:sz w:val="22"/>
        </w:rPr>
        <w:t xml:space="preserve">. </w:t>
      </w:r>
      <w:r w:rsidR="00676F07" w:rsidRPr="00676F07">
        <w:rPr>
          <w:rFonts w:ascii="Arial" w:hAnsi="Arial" w:cs="Arial"/>
          <w:color w:val="FF0000"/>
          <w:sz w:val="22"/>
        </w:rPr>
        <w:t>Once you add ASA to COX2I, the reduced GI bleed rate benefit</w:t>
      </w:r>
      <w:r w:rsidR="00676F07">
        <w:rPr>
          <w:rFonts w:ascii="Arial" w:hAnsi="Arial" w:cs="Arial"/>
          <w:sz w:val="22"/>
        </w:rPr>
        <w:t xml:space="preserve"> </w:t>
      </w:r>
      <w:r w:rsidR="00676F07" w:rsidRPr="00676F07">
        <w:rPr>
          <w:rFonts w:ascii="Arial" w:hAnsi="Arial" w:cs="Arial"/>
          <w:color w:val="FF0000"/>
          <w:sz w:val="22"/>
        </w:rPr>
        <w:t>is null/void</w:t>
      </w:r>
      <w:r w:rsidR="00676F07">
        <w:rPr>
          <w:rFonts w:ascii="Arial" w:hAnsi="Arial" w:cs="Arial"/>
          <w:sz w:val="22"/>
        </w:rPr>
        <w:t xml:space="preserve"> </w:t>
      </w:r>
    </w:p>
    <w:p w14:paraId="644152C0" w14:textId="77777777" w:rsidR="00304AC2" w:rsidRPr="00210EAD" w:rsidRDefault="00304AC2" w:rsidP="00210EAD">
      <w:pPr>
        <w:numPr>
          <w:ilvl w:val="1"/>
          <w:numId w:val="21"/>
        </w:numPr>
        <w:tabs>
          <w:tab w:val="left" w:pos="1170"/>
          <w:tab w:val="num" w:pos="1530"/>
        </w:tabs>
        <w:spacing w:line="360" w:lineRule="auto"/>
        <w:ind w:left="144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Acid suppression</w:t>
      </w:r>
      <w:r w:rsidR="00210EAD">
        <w:rPr>
          <w:rFonts w:ascii="Arial" w:hAnsi="Arial" w:cs="Arial"/>
          <w:sz w:val="22"/>
        </w:rPr>
        <w:t xml:space="preserve"> or </w:t>
      </w:r>
      <w:proofErr w:type="spellStart"/>
      <w:r w:rsidR="00210EAD">
        <w:rPr>
          <w:rFonts w:ascii="Arial" w:hAnsi="Arial" w:cs="Arial"/>
          <w:sz w:val="22"/>
        </w:rPr>
        <w:t>sulcrafate</w:t>
      </w:r>
      <w:proofErr w:type="spellEnd"/>
    </w:p>
    <w:p w14:paraId="39108AB5" w14:textId="77777777" w:rsidR="00304AC2" w:rsidRDefault="00304AC2" w:rsidP="00714D36">
      <w:pPr>
        <w:numPr>
          <w:ilvl w:val="0"/>
          <w:numId w:val="21"/>
        </w:numPr>
        <w:tabs>
          <w:tab w:val="clear" w:pos="2160"/>
          <w:tab w:val="left" w:pos="1170"/>
          <w:tab w:val="num" w:pos="1530"/>
        </w:tabs>
        <w:spacing w:line="360" w:lineRule="auto"/>
        <w:ind w:left="1440" w:hanging="63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Secondary therapy</w:t>
      </w:r>
    </w:p>
    <w:p w14:paraId="4AA61E5D" w14:textId="35C17FCA" w:rsidR="00304AC2" w:rsidRPr="00527E08" w:rsidRDefault="00304AC2" w:rsidP="00714D36">
      <w:pPr>
        <w:numPr>
          <w:ilvl w:val="1"/>
          <w:numId w:val="21"/>
        </w:numPr>
        <w:tabs>
          <w:tab w:val="left" w:pos="1170"/>
          <w:tab w:val="num" w:pos="1440"/>
        </w:tabs>
        <w:spacing w:line="360" w:lineRule="auto"/>
        <w:ind w:left="1440" w:hanging="27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Prophylactic </w:t>
      </w:r>
      <w:proofErr w:type="spellStart"/>
      <w:r>
        <w:rPr>
          <w:rFonts w:ascii="Arial" w:hAnsi="Arial" w:cs="Arial"/>
          <w:sz w:val="22"/>
        </w:rPr>
        <w:t>cotherapy</w:t>
      </w:r>
      <w:proofErr w:type="spellEnd"/>
      <w:r>
        <w:rPr>
          <w:rFonts w:ascii="Arial" w:hAnsi="Arial" w:cs="Arial"/>
          <w:sz w:val="22"/>
        </w:rPr>
        <w:t xml:space="preserve">- either a </w:t>
      </w:r>
      <w:r w:rsidRPr="0099774F">
        <w:rPr>
          <w:rFonts w:ascii="Arial" w:hAnsi="Arial" w:cs="Arial"/>
          <w:sz w:val="22"/>
          <w:u w:val="single"/>
        </w:rPr>
        <w:t>PPI or misoprostol</w:t>
      </w:r>
      <w:r>
        <w:rPr>
          <w:rFonts w:ascii="Arial" w:hAnsi="Arial" w:cs="Arial"/>
          <w:sz w:val="22"/>
        </w:rPr>
        <w:t>; decreases ulcer risk and upper GI complications in patients taking nonselective NSAIDs</w:t>
      </w:r>
    </w:p>
    <w:p w14:paraId="1123638A" w14:textId="2376E3A0" w:rsidR="00527E08" w:rsidRPr="00527E08" w:rsidRDefault="00527E08" w:rsidP="00714D36">
      <w:pPr>
        <w:numPr>
          <w:ilvl w:val="1"/>
          <w:numId w:val="21"/>
        </w:numPr>
        <w:tabs>
          <w:tab w:val="left" w:pos="1170"/>
          <w:tab w:val="num" w:pos="1440"/>
        </w:tabs>
        <w:spacing w:line="360" w:lineRule="auto"/>
        <w:ind w:left="1440" w:hanging="270"/>
        <w:rPr>
          <w:rFonts w:ascii="Arial" w:hAnsi="Arial" w:cs="Arial"/>
          <w:b/>
          <w:bCs/>
          <w:color w:val="FF0000"/>
          <w:sz w:val="22"/>
        </w:rPr>
      </w:pPr>
      <w:r w:rsidRPr="00527E08">
        <w:rPr>
          <w:rFonts w:ascii="Arial" w:hAnsi="Arial" w:cs="Arial"/>
          <w:color w:val="FF0000"/>
          <w:sz w:val="22"/>
        </w:rPr>
        <w:t xml:space="preserve">Combination products: </w:t>
      </w:r>
      <w:proofErr w:type="spellStart"/>
      <w:r w:rsidRPr="00527E08">
        <w:rPr>
          <w:rFonts w:ascii="Arial" w:hAnsi="Arial" w:cs="Arial"/>
          <w:color w:val="FF0000"/>
          <w:sz w:val="22"/>
        </w:rPr>
        <w:t>NapraPAC</w:t>
      </w:r>
      <w:proofErr w:type="spellEnd"/>
      <w:r w:rsidRPr="00527E08">
        <w:rPr>
          <w:rFonts w:ascii="Arial" w:hAnsi="Arial" w:cs="Arial"/>
          <w:color w:val="FF0000"/>
          <w:sz w:val="22"/>
        </w:rPr>
        <w:t xml:space="preserve"> (naproxen/lansoprazole combo) Vimovo (naproxen/esomeprazole combo)</w:t>
      </w:r>
    </w:p>
    <w:p w14:paraId="58636656" w14:textId="77777777" w:rsidR="00D85A59" w:rsidRDefault="00D85A59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br w:type="page"/>
      </w:r>
    </w:p>
    <w:p w14:paraId="61E7C31B" w14:textId="7FAAD968" w:rsidR="00304AC2" w:rsidRPr="00A9120C" w:rsidRDefault="00304AC2" w:rsidP="00714D36">
      <w:pPr>
        <w:spacing w:line="360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b/>
          <w:bCs/>
          <w:sz w:val="22"/>
        </w:rPr>
        <w:t xml:space="preserve">Oral drug regimens used to </w:t>
      </w:r>
      <w:r w:rsidRPr="00A9120C">
        <w:rPr>
          <w:rFonts w:ascii="Arial" w:hAnsi="Arial" w:cs="Arial"/>
          <w:b/>
          <w:bCs/>
          <w:sz w:val="22"/>
          <w:u w:val="single"/>
        </w:rPr>
        <w:t>heal or maintain</w:t>
      </w:r>
      <w:r>
        <w:rPr>
          <w:rFonts w:ascii="Arial" w:hAnsi="Arial" w:cs="Arial"/>
          <w:b/>
          <w:bCs/>
          <w:sz w:val="22"/>
        </w:rPr>
        <w:t xml:space="preserve"> peptic ulcers:</w:t>
      </w:r>
      <w:r w:rsidR="00A9120C">
        <w:rPr>
          <w:rFonts w:ascii="Arial" w:hAnsi="Arial" w:cs="Arial"/>
          <w:b/>
          <w:bCs/>
          <w:sz w:val="22"/>
        </w:rPr>
        <w:t xml:space="preserve"> </w:t>
      </w:r>
      <w:r w:rsidR="00A9120C" w:rsidRPr="00A9120C">
        <w:rPr>
          <w:rFonts w:ascii="Arial" w:hAnsi="Arial" w:cs="Arial"/>
          <w:b/>
          <w:bCs/>
          <w:color w:val="FF0000"/>
          <w:sz w:val="22"/>
        </w:rPr>
        <w:t>“pay attention to healing regimens!!!!”</w:t>
      </w:r>
      <w:r w:rsidR="00D85A59">
        <w:rPr>
          <w:rFonts w:ascii="Arial" w:hAnsi="Arial" w:cs="Arial"/>
          <w:b/>
          <w:bCs/>
          <w:color w:val="FF0000"/>
          <w:sz w:val="22"/>
        </w:rPr>
        <w:t xml:space="preserve"> need reduced acid secretion to allow for the ulcer to heal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304AC2" w14:paraId="2C6EFFCE" w14:textId="77777777">
        <w:tc>
          <w:tcPr>
            <w:tcW w:w="2952" w:type="dxa"/>
          </w:tcPr>
          <w:p w14:paraId="1334BD2D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Drug</w:t>
            </w:r>
          </w:p>
          <w:p w14:paraId="694A1D12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5B4A1E71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bCs/>
                <w:color w:val="FF0000"/>
                <w:sz w:val="22"/>
              </w:rPr>
            </w:pPr>
            <w:r w:rsidRPr="00A9120C">
              <w:rPr>
                <w:rFonts w:ascii="Arial" w:hAnsi="Arial" w:cs="Arial"/>
                <w:b/>
                <w:bCs/>
                <w:color w:val="FF0000"/>
                <w:sz w:val="22"/>
              </w:rPr>
              <w:t>Duodenal or Gastric Ulcer Healing</w:t>
            </w:r>
          </w:p>
        </w:tc>
        <w:tc>
          <w:tcPr>
            <w:tcW w:w="2952" w:type="dxa"/>
          </w:tcPr>
          <w:p w14:paraId="457ECC43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Maintenance of Duodenal or Gastric Ulcer Healing</w:t>
            </w:r>
          </w:p>
        </w:tc>
      </w:tr>
      <w:tr w:rsidR="00304AC2" w14:paraId="5BA1C168" w14:textId="77777777">
        <w:tc>
          <w:tcPr>
            <w:tcW w:w="2952" w:type="dxa"/>
          </w:tcPr>
          <w:p w14:paraId="39585708" w14:textId="5D894F3E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Omeprazole</w:t>
            </w:r>
            <w:r w:rsidR="00D85A59">
              <w:rPr>
                <w:rFonts w:ascii="Arial" w:hAnsi="Arial" w:cs="Arial"/>
                <w:sz w:val="22"/>
              </w:rPr>
              <w:t xml:space="preserve"> PPI’s once in the morning on empty stomach</w:t>
            </w:r>
          </w:p>
        </w:tc>
        <w:tc>
          <w:tcPr>
            <w:tcW w:w="2952" w:type="dxa"/>
          </w:tcPr>
          <w:p w14:paraId="0D0F958B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20–40mg daily</w:t>
            </w:r>
          </w:p>
        </w:tc>
        <w:tc>
          <w:tcPr>
            <w:tcW w:w="2952" w:type="dxa"/>
          </w:tcPr>
          <w:p w14:paraId="29E89B7D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20–40mg daily</w:t>
            </w:r>
          </w:p>
        </w:tc>
      </w:tr>
      <w:tr w:rsidR="00304AC2" w14:paraId="302E345E" w14:textId="77777777">
        <w:tc>
          <w:tcPr>
            <w:tcW w:w="2952" w:type="dxa"/>
          </w:tcPr>
          <w:p w14:paraId="6785990E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Lansoprazole</w:t>
            </w:r>
          </w:p>
        </w:tc>
        <w:tc>
          <w:tcPr>
            <w:tcW w:w="2952" w:type="dxa"/>
          </w:tcPr>
          <w:p w14:paraId="0B4DABF8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15–30mg daily</w:t>
            </w:r>
          </w:p>
        </w:tc>
        <w:tc>
          <w:tcPr>
            <w:tcW w:w="2952" w:type="dxa"/>
          </w:tcPr>
          <w:p w14:paraId="3DCB0290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15–30mg daily</w:t>
            </w:r>
          </w:p>
        </w:tc>
      </w:tr>
      <w:tr w:rsidR="00304AC2" w14:paraId="00F3E8B0" w14:textId="77777777">
        <w:tc>
          <w:tcPr>
            <w:tcW w:w="2952" w:type="dxa"/>
          </w:tcPr>
          <w:p w14:paraId="779BBCC2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Rabeprazole</w:t>
            </w:r>
          </w:p>
        </w:tc>
        <w:tc>
          <w:tcPr>
            <w:tcW w:w="2952" w:type="dxa"/>
          </w:tcPr>
          <w:p w14:paraId="2CA54AAD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20mg daily</w:t>
            </w:r>
          </w:p>
        </w:tc>
        <w:tc>
          <w:tcPr>
            <w:tcW w:w="2952" w:type="dxa"/>
          </w:tcPr>
          <w:p w14:paraId="5C2E8D69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20mg daily</w:t>
            </w:r>
          </w:p>
        </w:tc>
      </w:tr>
      <w:tr w:rsidR="00304AC2" w14:paraId="60617A25" w14:textId="77777777">
        <w:tc>
          <w:tcPr>
            <w:tcW w:w="2952" w:type="dxa"/>
          </w:tcPr>
          <w:p w14:paraId="28325EDD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Pantoprazole</w:t>
            </w:r>
          </w:p>
        </w:tc>
        <w:tc>
          <w:tcPr>
            <w:tcW w:w="2952" w:type="dxa"/>
          </w:tcPr>
          <w:p w14:paraId="2F6DFD3C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40mg daily</w:t>
            </w:r>
          </w:p>
        </w:tc>
        <w:tc>
          <w:tcPr>
            <w:tcW w:w="2952" w:type="dxa"/>
          </w:tcPr>
          <w:p w14:paraId="2998A793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40mg daily</w:t>
            </w:r>
          </w:p>
        </w:tc>
      </w:tr>
      <w:tr w:rsidR="00304AC2" w14:paraId="7C8CC8A5" w14:textId="77777777">
        <w:tc>
          <w:tcPr>
            <w:tcW w:w="2952" w:type="dxa"/>
          </w:tcPr>
          <w:p w14:paraId="1697C76E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Esomeprazole</w:t>
            </w:r>
          </w:p>
        </w:tc>
        <w:tc>
          <w:tcPr>
            <w:tcW w:w="2952" w:type="dxa"/>
          </w:tcPr>
          <w:p w14:paraId="57CA8AFF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20–40mg daily</w:t>
            </w:r>
          </w:p>
        </w:tc>
        <w:tc>
          <w:tcPr>
            <w:tcW w:w="2952" w:type="dxa"/>
          </w:tcPr>
          <w:p w14:paraId="10432FC8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20–40mg daily</w:t>
            </w:r>
          </w:p>
        </w:tc>
      </w:tr>
      <w:tr w:rsidR="00304AC2" w14:paraId="4D744936" w14:textId="77777777">
        <w:trPr>
          <w:cantSplit/>
        </w:trPr>
        <w:tc>
          <w:tcPr>
            <w:tcW w:w="2952" w:type="dxa"/>
            <w:vMerge w:val="restart"/>
          </w:tcPr>
          <w:p w14:paraId="3FFA5C99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Cimetidine</w:t>
            </w:r>
          </w:p>
        </w:tc>
        <w:tc>
          <w:tcPr>
            <w:tcW w:w="2952" w:type="dxa"/>
          </w:tcPr>
          <w:p w14:paraId="02BF40C3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300mg four times daily</w:t>
            </w:r>
          </w:p>
        </w:tc>
        <w:tc>
          <w:tcPr>
            <w:tcW w:w="2952" w:type="dxa"/>
          </w:tcPr>
          <w:p w14:paraId="7E2430E2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400–800mg at bedtime</w:t>
            </w:r>
          </w:p>
        </w:tc>
      </w:tr>
      <w:tr w:rsidR="00304AC2" w14:paraId="1A54A30A" w14:textId="77777777">
        <w:trPr>
          <w:cantSplit/>
        </w:trPr>
        <w:tc>
          <w:tcPr>
            <w:tcW w:w="2952" w:type="dxa"/>
            <w:vMerge/>
            <w:vAlign w:val="center"/>
          </w:tcPr>
          <w:p w14:paraId="012977CF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2EE5F5D9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400mg twice daily</w:t>
            </w:r>
          </w:p>
        </w:tc>
        <w:tc>
          <w:tcPr>
            <w:tcW w:w="2952" w:type="dxa"/>
          </w:tcPr>
          <w:p w14:paraId="471561C5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</w:tr>
      <w:tr w:rsidR="00304AC2" w14:paraId="344A23A9" w14:textId="77777777">
        <w:trPr>
          <w:cantSplit/>
        </w:trPr>
        <w:tc>
          <w:tcPr>
            <w:tcW w:w="2952" w:type="dxa"/>
            <w:vMerge/>
            <w:vAlign w:val="center"/>
          </w:tcPr>
          <w:p w14:paraId="3BFF77F9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52AA4DEB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800mg at bedtime</w:t>
            </w:r>
          </w:p>
        </w:tc>
        <w:tc>
          <w:tcPr>
            <w:tcW w:w="2952" w:type="dxa"/>
          </w:tcPr>
          <w:p w14:paraId="6A7C0EA1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</w:tr>
      <w:tr w:rsidR="00304AC2" w14:paraId="5FF67C7A" w14:textId="77777777">
        <w:trPr>
          <w:cantSplit/>
        </w:trPr>
        <w:tc>
          <w:tcPr>
            <w:tcW w:w="2952" w:type="dxa"/>
            <w:vMerge w:val="restart"/>
          </w:tcPr>
          <w:p w14:paraId="1B46D6D3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Famotidine</w:t>
            </w:r>
          </w:p>
        </w:tc>
        <w:tc>
          <w:tcPr>
            <w:tcW w:w="2952" w:type="dxa"/>
          </w:tcPr>
          <w:p w14:paraId="07AC1A9F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20mg twice daily</w:t>
            </w:r>
          </w:p>
        </w:tc>
        <w:tc>
          <w:tcPr>
            <w:tcW w:w="2952" w:type="dxa"/>
          </w:tcPr>
          <w:p w14:paraId="7086018D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20–40mg at bedtime</w:t>
            </w:r>
          </w:p>
        </w:tc>
      </w:tr>
      <w:tr w:rsidR="00304AC2" w14:paraId="3885D15F" w14:textId="77777777">
        <w:trPr>
          <w:cantSplit/>
        </w:trPr>
        <w:tc>
          <w:tcPr>
            <w:tcW w:w="2952" w:type="dxa"/>
            <w:vMerge/>
          </w:tcPr>
          <w:p w14:paraId="0E1230B6" w14:textId="77777777" w:rsidR="00304AC2" w:rsidRDefault="00304AC2" w:rsidP="00714D36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952" w:type="dxa"/>
          </w:tcPr>
          <w:p w14:paraId="6AE3682B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40mg at bedtime</w:t>
            </w:r>
          </w:p>
        </w:tc>
        <w:tc>
          <w:tcPr>
            <w:tcW w:w="2952" w:type="dxa"/>
          </w:tcPr>
          <w:p w14:paraId="31202059" w14:textId="77777777" w:rsidR="00304AC2" w:rsidRDefault="00304AC2" w:rsidP="00714D36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04AC2" w14:paraId="41E27806" w14:textId="77777777">
        <w:trPr>
          <w:cantSplit/>
        </w:trPr>
        <w:tc>
          <w:tcPr>
            <w:tcW w:w="2952" w:type="dxa"/>
            <w:vMerge w:val="restart"/>
          </w:tcPr>
          <w:p w14:paraId="00BDF797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Nizatidine</w:t>
            </w:r>
          </w:p>
        </w:tc>
        <w:tc>
          <w:tcPr>
            <w:tcW w:w="2952" w:type="dxa"/>
          </w:tcPr>
          <w:p w14:paraId="12D019AD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150mg twice daily</w:t>
            </w:r>
          </w:p>
        </w:tc>
        <w:tc>
          <w:tcPr>
            <w:tcW w:w="2952" w:type="dxa"/>
          </w:tcPr>
          <w:p w14:paraId="5475AFB4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150–300mg at bedtime</w:t>
            </w:r>
          </w:p>
        </w:tc>
      </w:tr>
      <w:tr w:rsidR="00304AC2" w14:paraId="5609781A" w14:textId="77777777">
        <w:trPr>
          <w:cantSplit/>
        </w:trPr>
        <w:tc>
          <w:tcPr>
            <w:tcW w:w="2952" w:type="dxa"/>
            <w:vMerge/>
            <w:vAlign w:val="center"/>
          </w:tcPr>
          <w:p w14:paraId="2823686E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716A0D2A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300mg at bedtime</w:t>
            </w:r>
          </w:p>
        </w:tc>
        <w:tc>
          <w:tcPr>
            <w:tcW w:w="2952" w:type="dxa"/>
          </w:tcPr>
          <w:p w14:paraId="0C87EFDC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</w:tr>
      <w:tr w:rsidR="00304AC2" w14:paraId="12E8DEFB" w14:textId="77777777">
        <w:trPr>
          <w:cantSplit/>
        </w:trPr>
        <w:tc>
          <w:tcPr>
            <w:tcW w:w="2952" w:type="dxa"/>
            <w:vMerge w:val="restart"/>
          </w:tcPr>
          <w:p w14:paraId="44516B97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Ranitidine</w:t>
            </w:r>
          </w:p>
        </w:tc>
        <w:tc>
          <w:tcPr>
            <w:tcW w:w="2952" w:type="dxa"/>
          </w:tcPr>
          <w:p w14:paraId="02995A26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150mg twice daily</w:t>
            </w:r>
          </w:p>
        </w:tc>
        <w:tc>
          <w:tcPr>
            <w:tcW w:w="2952" w:type="dxa"/>
          </w:tcPr>
          <w:p w14:paraId="5024128F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150–300mg at bedtime</w:t>
            </w:r>
          </w:p>
        </w:tc>
      </w:tr>
      <w:tr w:rsidR="00304AC2" w14:paraId="4E2819CE" w14:textId="77777777">
        <w:trPr>
          <w:cantSplit/>
        </w:trPr>
        <w:tc>
          <w:tcPr>
            <w:tcW w:w="2952" w:type="dxa"/>
            <w:vMerge/>
            <w:vAlign w:val="center"/>
          </w:tcPr>
          <w:p w14:paraId="0ABF044D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5D14AB87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300mg at bedtime</w:t>
            </w:r>
          </w:p>
        </w:tc>
        <w:tc>
          <w:tcPr>
            <w:tcW w:w="2952" w:type="dxa"/>
          </w:tcPr>
          <w:p w14:paraId="7D0544AA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</w:tr>
      <w:tr w:rsidR="00304AC2" w14:paraId="72FBE06B" w14:textId="77777777">
        <w:trPr>
          <w:cantSplit/>
        </w:trPr>
        <w:tc>
          <w:tcPr>
            <w:tcW w:w="2952" w:type="dxa"/>
            <w:vMerge w:val="restart"/>
          </w:tcPr>
          <w:p w14:paraId="4DD909EA" w14:textId="77777777" w:rsidR="00304AC2" w:rsidRDefault="00304AC2" w:rsidP="00714D36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Sucralfate</w:t>
            </w:r>
          </w:p>
          <w:p w14:paraId="7372CAFA" w14:textId="77777777" w:rsidR="00D85A59" w:rsidRDefault="00D85A59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15E1BC2E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1 g four times daily</w:t>
            </w:r>
          </w:p>
        </w:tc>
        <w:tc>
          <w:tcPr>
            <w:tcW w:w="2952" w:type="dxa"/>
          </w:tcPr>
          <w:p w14:paraId="0FFCDECC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1–2 g twice daily</w:t>
            </w:r>
          </w:p>
        </w:tc>
      </w:tr>
      <w:tr w:rsidR="00304AC2" w14:paraId="3C320E12" w14:textId="77777777">
        <w:trPr>
          <w:cantSplit/>
        </w:trPr>
        <w:tc>
          <w:tcPr>
            <w:tcW w:w="2952" w:type="dxa"/>
            <w:vMerge/>
            <w:vAlign w:val="center"/>
          </w:tcPr>
          <w:p w14:paraId="43DD5E6F" w14:textId="77777777" w:rsidR="00304AC2" w:rsidRDefault="00304AC2" w:rsidP="00714D36">
            <w:pPr>
              <w:spacing w:line="360" w:lineRule="auto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2952" w:type="dxa"/>
          </w:tcPr>
          <w:p w14:paraId="1E7CA204" w14:textId="77777777" w:rsidR="00304AC2" w:rsidRPr="00A9120C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color w:val="FF0000"/>
                <w:sz w:val="22"/>
              </w:rPr>
            </w:pPr>
            <w:r w:rsidRPr="00A9120C">
              <w:rPr>
                <w:rFonts w:ascii="Arial" w:hAnsi="Arial" w:cs="Arial"/>
                <w:color w:val="FF0000"/>
                <w:sz w:val="22"/>
              </w:rPr>
              <w:t>2 g twice daily</w:t>
            </w:r>
          </w:p>
        </w:tc>
        <w:tc>
          <w:tcPr>
            <w:tcW w:w="2952" w:type="dxa"/>
          </w:tcPr>
          <w:p w14:paraId="2E603731" w14:textId="77777777" w:rsidR="00304AC2" w:rsidRDefault="00304AC2" w:rsidP="00714D36">
            <w:pPr>
              <w:spacing w:line="360" w:lineRule="auto"/>
              <w:jc w:val="center"/>
              <w:rPr>
                <w:rFonts w:ascii="Arial" w:eastAsia="Arial Unicode MS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g four times daily</w:t>
            </w:r>
          </w:p>
        </w:tc>
      </w:tr>
    </w:tbl>
    <w:p w14:paraId="67529603" w14:textId="77777777" w:rsidR="00304AC2" w:rsidRDefault="00304AC2" w:rsidP="00714D36">
      <w:pPr>
        <w:spacing w:line="360" w:lineRule="auto"/>
      </w:pPr>
    </w:p>
    <w:p w14:paraId="6651EA3F" w14:textId="77777777" w:rsidR="00304AC2" w:rsidRDefault="00304AC2" w:rsidP="00714D36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>Duration of Treatment for NSAID-induced ulcers</w:t>
      </w:r>
    </w:p>
    <w:p w14:paraId="392771FE" w14:textId="77777777" w:rsidR="00D85A59" w:rsidRDefault="00304AC2" w:rsidP="00210EAD">
      <w:pPr>
        <w:pStyle w:val="BodyText"/>
        <w:numPr>
          <w:ilvl w:val="0"/>
          <w:numId w:val="19"/>
        </w:numPr>
        <w:spacing w:line="360" w:lineRule="auto"/>
      </w:pPr>
      <w:r w:rsidRPr="006E01C4">
        <w:rPr>
          <w:u w:val="single"/>
        </w:rPr>
        <w:t>Ulcer healing</w:t>
      </w:r>
      <w:r>
        <w:t>:</w:t>
      </w:r>
      <w:r w:rsidR="00D85A59">
        <w:t xml:space="preserve"> </w:t>
      </w:r>
      <w:r w:rsidR="00D85A59" w:rsidRPr="00D85A59">
        <w:rPr>
          <w:color w:val="FF0000"/>
        </w:rPr>
        <w:t>4 weeks</w:t>
      </w:r>
      <w:r w:rsidR="00D85A59">
        <w:t xml:space="preserve"> of PPI or </w:t>
      </w:r>
    </w:p>
    <w:p w14:paraId="6F946812" w14:textId="315E4681" w:rsidR="00304AC2" w:rsidRDefault="00D85A59" w:rsidP="00D85A59">
      <w:pPr>
        <w:pStyle w:val="BodyText"/>
        <w:numPr>
          <w:ilvl w:val="1"/>
          <w:numId w:val="19"/>
        </w:numPr>
        <w:spacing w:line="360" w:lineRule="auto"/>
      </w:pPr>
      <w:r w:rsidRPr="006E01C4">
        <w:rPr>
          <w:color w:val="FF0000"/>
        </w:rPr>
        <w:t>6-8</w:t>
      </w:r>
      <w:r w:rsidR="00210EAD" w:rsidRPr="006E01C4">
        <w:rPr>
          <w:color w:val="FF0000"/>
        </w:rPr>
        <w:t xml:space="preserve"> weeks</w:t>
      </w:r>
      <w:r w:rsidR="00210EAD">
        <w:t xml:space="preserve"> of H</w:t>
      </w:r>
      <w:r w:rsidR="00210EAD" w:rsidRPr="00210EAD">
        <w:rPr>
          <w:vertAlign w:val="subscript"/>
        </w:rPr>
        <w:t>2</w:t>
      </w:r>
      <w:r w:rsidR="00210EAD">
        <w:t>RA</w:t>
      </w:r>
      <w:r w:rsidR="00F6329F">
        <w:t xml:space="preserve"> </w:t>
      </w:r>
      <w:r w:rsidR="00210EAD">
        <w:t>or sucralfate</w:t>
      </w:r>
    </w:p>
    <w:p w14:paraId="2B697E0A" w14:textId="77777777" w:rsidR="00210EAD" w:rsidRDefault="00210EAD" w:rsidP="00210EAD">
      <w:pPr>
        <w:pStyle w:val="BodyText"/>
        <w:spacing w:line="360" w:lineRule="auto"/>
        <w:ind w:left="720"/>
      </w:pPr>
    </w:p>
    <w:p w14:paraId="09151715" w14:textId="5F8B744E" w:rsidR="00304AC2" w:rsidRDefault="006E01C4" w:rsidP="00714D36">
      <w:pPr>
        <w:pStyle w:val="BodyText"/>
        <w:numPr>
          <w:ilvl w:val="0"/>
          <w:numId w:val="19"/>
        </w:numPr>
        <w:spacing w:line="360" w:lineRule="auto"/>
      </w:pPr>
      <w:r>
        <w:t xml:space="preserve">PPI treatment extends to </w:t>
      </w:r>
      <w:r w:rsidRPr="006E01C4">
        <w:rPr>
          <w:color w:val="FF0000"/>
        </w:rPr>
        <w:t>8-12 weeks</w:t>
      </w:r>
      <w:r>
        <w:t xml:space="preserve"> </w:t>
      </w:r>
      <w:r w:rsidR="00304AC2">
        <w:t xml:space="preserve">if NSAID is continued </w:t>
      </w:r>
    </w:p>
    <w:p w14:paraId="291F4420" w14:textId="77777777" w:rsidR="00304AC2" w:rsidRDefault="00304AC2" w:rsidP="00714D36">
      <w:pPr>
        <w:pStyle w:val="BodyText"/>
        <w:spacing w:line="360" w:lineRule="auto"/>
        <w:ind w:left="360"/>
      </w:pPr>
    </w:p>
    <w:p w14:paraId="2F854A41" w14:textId="612C1546" w:rsidR="00304AC2" w:rsidRDefault="00304AC2" w:rsidP="00714D36">
      <w:pPr>
        <w:pStyle w:val="BodyText"/>
        <w:spacing w:line="360" w:lineRule="auto"/>
      </w:pPr>
      <w:r>
        <w:rPr>
          <w:b/>
          <w:bCs/>
        </w:rPr>
        <w:t>ZES treatment</w:t>
      </w:r>
      <w:r>
        <w:t>-</w:t>
      </w:r>
      <w:r w:rsidR="00131FDB">
        <w:t xml:space="preserve"> </w:t>
      </w:r>
      <w:r w:rsidR="00131FDB" w:rsidRPr="00131FDB">
        <w:rPr>
          <w:color w:val="FF0000"/>
        </w:rPr>
        <w:t>(Zollinger-Ellison Syndrome</w:t>
      </w:r>
      <w:r w:rsidR="00131FDB">
        <w:t>):</w:t>
      </w:r>
      <w:r>
        <w:t xml:space="preserve"> </w:t>
      </w:r>
      <w:r w:rsidRPr="00131FDB">
        <w:rPr>
          <w:u w:val="single"/>
        </w:rPr>
        <w:t>high dose PPI</w:t>
      </w:r>
      <w:r>
        <w:t>-</w:t>
      </w:r>
      <w:r w:rsidR="00131FDB">
        <w:t xml:space="preserve"> (</w:t>
      </w:r>
      <w:r w:rsidR="00131FDB" w:rsidRPr="00131FDB">
        <w:rPr>
          <w:color w:val="FF0000"/>
        </w:rPr>
        <w:t xml:space="preserve">she said </w:t>
      </w:r>
      <w:r w:rsidR="00131FDB">
        <w:rPr>
          <w:color w:val="FF0000"/>
        </w:rPr>
        <w:t>“</w:t>
      </w:r>
      <w:r w:rsidR="00131FDB" w:rsidRPr="00131FDB">
        <w:rPr>
          <w:color w:val="FF0000"/>
        </w:rPr>
        <w:t>just know that you Tx with high dose PPI</w:t>
      </w:r>
      <w:r w:rsidR="00131FDB">
        <w:rPr>
          <w:color w:val="FF0000"/>
        </w:rPr>
        <w:t>”</w:t>
      </w:r>
      <w:r w:rsidR="00131FDB" w:rsidRPr="00131FDB">
        <w:rPr>
          <w:color w:val="FF0000"/>
        </w:rPr>
        <w:t>)</w:t>
      </w:r>
      <w:r>
        <w:t xml:space="preserve"> Omeprazole 60mg/day or equivalent in divided daily doses q8 or q12hrs</w:t>
      </w:r>
    </w:p>
    <w:p w14:paraId="277E7628" w14:textId="77777777" w:rsidR="009B5F22" w:rsidRDefault="009B5F22" w:rsidP="00714D36">
      <w:pPr>
        <w:pStyle w:val="BodyText"/>
        <w:spacing w:line="360" w:lineRule="auto"/>
      </w:pPr>
    </w:p>
    <w:p w14:paraId="3F7B4607" w14:textId="77777777" w:rsidR="00527E08" w:rsidRDefault="00527E08">
      <w:pPr>
        <w:rPr>
          <w:rFonts w:ascii="Arial" w:hAnsi="Arial" w:cs="Arial"/>
          <w:b/>
          <w:sz w:val="22"/>
          <w:szCs w:val="22"/>
        </w:rPr>
      </w:pPr>
      <w:r>
        <w:rPr>
          <w:b/>
          <w:szCs w:val="22"/>
        </w:rPr>
        <w:br w:type="page"/>
      </w:r>
    </w:p>
    <w:p w14:paraId="3987AE81" w14:textId="2BC85540" w:rsidR="009B5F22" w:rsidRDefault="009B5F22" w:rsidP="009B5F22">
      <w:pPr>
        <w:pStyle w:val="BodyText"/>
        <w:spacing w:line="360" w:lineRule="auto"/>
        <w:rPr>
          <w:b/>
          <w:szCs w:val="22"/>
        </w:rPr>
      </w:pPr>
      <w:r>
        <w:rPr>
          <w:b/>
          <w:szCs w:val="22"/>
        </w:rPr>
        <w:t>Case 2</w:t>
      </w:r>
    </w:p>
    <w:p w14:paraId="253E59C4" w14:textId="71272B55" w:rsidR="009B5F22" w:rsidRPr="00131FDB" w:rsidRDefault="009B5F22" w:rsidP="009B5F22">
      <w:p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BR’s endoscopy results reveal a gastric ulcer. She typically takes ibuprofen 600mg </w:t>
      </w:r>
      <w:proofErr w:type="spellStart"/>
      <w:r>
        <w:rPr>
          <w:rFonts w:ascii="Arial" w:hAnsi="Arial" w:cs="Arial"/>
          <w:sz w:val="22"/>
          <w:szCs w:val="22"/>
        </w:rPr>
        <w:t>po</w:t>
      </w:r>
      <w:proofErr w:type="spellEnd"/>
      <w:r>
        <w:rPr>
          <w:rFonts w:ascii="Arial" w:hAnsi="Arial" w:cs="Arial"/>
          <w:sz w:val="22"/>
          <w:szCs w:val="22"/>
        </w:rPr>
        <w:t xml:space="preserve"> TID for arthritis pain. Her primary care physician calls you for a treatment recommendation. What is your recommendation?</w:t>
      </w:r>
      <w:r w:rsidR="00131FDB">
        <w:rPr>
          <w:rFonts w:ascii="Arial" w:hAnsi="Arial" w:cs="Arial"/>
          <w:sz w:val="22"/>
          <w:szCs w:val="22"/>
        </w:rPr>
        <w:t xml:space="preserve"> </w:t>
      </w:r>
      <w:r w:rsidR="00131FDB" w:rsidRPr="00131FDB">
        <w:rPr>
          <w:rFonts w:ascii="Arial" w:hAnsi="Arial" w:cs="Arial"/>
          <w:color w:val="FF0000"/>
          <w:sz w:val="22"/>
          <w:szCs w:val="22"/>
        </w:rPr>
        <w:t>STOP NSAID…</w:t>
      </w:r>
      <w:proofErr w:type="gramStart"/>
      <w:r w:rsidR="00131FDB" w:rsidRPr="00131FDB">
        <w:rPr>
          <w:rFonts w:ascii="Arial" w:hAnsi="Arial" w:cs="Arial"/>
          <w:color w:val="FF0000"/>
          <w:sz w:val="22"/>
          <w:szCs w:val="22"/>
        </w:rPr>
        <w:t>.keep</w:t>
      </w:r>
      <w:proofErr w:type="gramEnd"/>
      <w:r w:rsidR="00131FDB" w:rsidRPr="00131FDB">
        <w:rPr>
          <w:rFonts w:ascii="Arial" w:hAnsi="Arial" w:cs="Arial"/>
          <w:color w:val="FF0000"/>
          <w:sz w:val="22"/>
          <w:szCs w:val="22"/>
        </w:rPr>
        <w:t xml:space="preserve"> PPI ongoing for at least 4 weeks</w:t>
      </w:r>
      <w:r w:rsidR="00131FDB">
        <w:rPr>
          <w:rFonts w:ascii="Arial" w:hAnsi="Arial" w:cs="Arial"/>
          <w:color w:val="FF0000"/>
          <w:sz w:val="22"/>
          <w:szCs w:val="22"/>
        </w:rPr>
        <w:t xml:space="preserve"> (although we shouldn’t…..if we had continued the ibuprofen, than we would use the PPI for 8-12 weeks????)</w:t>
      </w:r>
    </w:p>
    <w:p w14:paraId="127A3D65" w14:textId="77777777" w:rsidR="00131FDB" w:rsidRPr="009B5F22" w:rsidRDefault="00131FDB" w:rsidP="009B5F22">
      <w:pPr>
        <w:spacing w:line="360" w:lineRule="auto"/>
        <w:rPr>
          <w:rFonts w:ascii="Arial" w:hAnsi="Arial" w:cs="Arial"/>
          <w:sz w:val="22"/>
          <w:szCs w:val="22"/>
        </w:rPr>
      </w:pPr>
    </w:p>
    <w:p w14:paraId="640671F1" w14:textId="77777777" w:rsidR="00304AC2" w:rsidRDefault="00304AC2">
      <w:pPr>
        <w:pStyle w:val="Heading2"/>
      </w:pPr>
      <w:r>
        <w:t>Algorithm/ Management pathway</w:t>
      </w:r>
    </w:p>
    <w:p w14:paraId="664E1E2A" w14:textId="77777777" w:rsidR="00304AC2" w:rsidRDefault="003B5B6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505728" wp14:editId="4D2C6668">
            <wp:extent cx="5486400" cy="5848350"/>
            <wp:effectExtent l="0" t="0" r="0" b="0"/>
            <wp:docPr id="12" name="Picture 2" descr="PU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D algorith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1583" w14:textId="77777777" w:rsidR="00304AC2" w:rsidRDefault="00304AC2">
      <w:pPr>
        <w:pStyle w:val="Heading2"/>
        <w:rPr>
          <w:b w:val="0"/>
          <w:bCs w:val="0"/>
        </w:rPr>
      </w:pPr>
    </w:p>
    <w:p w14:paraId="2B8E1DC7" w14:textId="77777777" w:rsidR="001D5ED2" w:rsidRDefault="001D5ED2" w:rsidP="009B5F22">
      <w:pPr>
        <w:spacing w:line="360" w:lineRule="auto"/>
        <w:rPr>
          <w:rFonts w:ascii="Arial" w:hAnsi="Arial" w:cs="Arial Unicode MS"/>
          <w:b/>
          <w:sz w:val="22"/>
          <w:szCs w:val="22"/>
        </w:rPr>
      </w:pPr>
    </w:p>
    <w:p w14:paraId="0619374F" w14:textId="77777777" w:rsidR="001D5ED2" w:rsidRDefault="001D5ED2" w:rsidP="001D5ED2">
      <w:pPr>
        <w:spacing w:line="360" w:lineRule="auto"/>
        <w:rPr>
          <w:rFonts w:ascii="Arial" w:hAnsi="Arial" w:cs="Arial Unicode MS"/>
          <w:b/>
          <w:sz w:val="22"/>
          <w:szCs w:val="22"/>
        </w:rPr>
      </w:pPr>
      <w:r>
        <w:rPr>
          <w:rFonts w:ascii="Arial" w:hAnsi="Arial" w:cs="Arial Unicode MS"/>
          <w:b/>
          <w:sz w:val="22"/>
          <w:szCs w:val="22"/>
        </w:rPr>
        <w:t>Case 3</w:t>
      </w:r>
    </w:p>
    <w:p w14:paraId="106B8747" w14:textId="77777777" w:rsidR="001D5ED2" w:rsidRDefault="001D5ED2" w:rsidP="001D5ED2">
      <w:pPr>
        <w:spacing w:line="360" w:lineRule="auto"/>
        <w:rPr>
          <w:rFonts w:ascii="Arial" w:hAnsi="Arial" w:cs="Arial Unicode MS"/>
          <w:sz w:val="22"/>
          <w:szCs w:val="22"/>
        </w:rPr>
      </w:pPr>
      <w:r>
        <w:rPr>
          <w:rFonts w:ascii="Arial" w:hAnsi="Arial" w:cs="Arial Unicode MS"/>
          <w:sz w:val="22"/>
          <w:szCs w:val="22"/>
        </w:rPr>
        <w:t>Dr. C. calls you for a recommendation for his patient. The patient has been diagnosed with an NSAID-induced ulcer, but is on a fixed income without insurance.</w:t>
      </w:r>
    </w:p>
    <w:p w14:paraId="08315D67" w14:textId="77777777" w:rsidR="001D5ED2" w:rsidRDefault="00381A05" w:rsidP="001D5ED2">
      <w:pPr>
        <w:spacing w:line="360" w:lineRule="auto"/>
        <w:rPr>
          <w:rFonts w:ascii="Arial" w:hAnsi="Arial" w:cs="Arial Unicode MS"/>
          <w:sz w:val="22"/>
          <w:szCs w:val="22"/>
        </w:rPr>
      </w:pPr>
      <w:r>
        <w:rPr>
          <w:rFonts w:ascii="Arial" w:hAnsi="Arial" w:cs="Arial Unicode MS"/>
          <w:sz w:val="22"/>
          <w:szCs w:val="22"/>
        </w:rPr>
        <w:t>Discuss how you would determine the most</w:t>
      </w:r>
      <w:r w:rsidR="001D5ED2">
        <w:rPr>
          <w:rFonts w:ascii="Arial" w:hAnsi="Arial" w:cs="Arial Unicode MS"/>
          <w:sz w:val="22"/>
          <w:szCs w:val="22"/>
        </w:rPr>
        <w:t xml:space="preserve"> cost-effective tr</w:t>
      </w:r>
      <w:r>
        <w:rPr>
          <w:rFonts w:ascii="Arial" w:hAnsi="Arial" w:cs="Arial Unicode MS"/>
          <w:sz w:val="22"/>
          <w:szCs w:val="22"/>
        </w:rPr>
        <w:t>eatment option regimen</w:t>
      </w:r>
      <w:r w:rsidR="001D5ED2">
        <w:rPr>
          <w:rFonts w:ascii="Arial" w:hAnsi="Arial" w:cs="Arial Unicode MS"/>
          <w:sz w:val="22"/>
          <w:szCs w:val="22"/>
        </w:rPr>
        <w:t>:</w:t>
      </w:r>
    </w:p>
    <w:p w14:paraId="68D8EB24" w14:textId="6E25BA11" w:rsidR="001D5ED2" w:rsidRPr="008A63D8" w:rsidRDefault="00915935" w:rsidP="001D5ED2">
      <w:pPr>
        <w:pStyle w:val="Heading2"/>
        <w:spacing w:line="360" w:lineRule="auto"/>
        <w:rPr>
          <w:color w:val="FF0000"/>
        </w:rPr>
      </w:pPr>
      <w:r>
        <w:rPr>
          <w:color w:val="FF0000"/>
        </w:rPr>
        <w:t xml:space="preserve">Stop the NSAID, and initiate PPI Tx for 4 weeks (H2 antag used for 6-8weeks). Do the math: add up the price, and compare the cost of 4 weeks of PPI </w:t>
      </w:r>
      <w:proofErr w:type="spellStart"/>
      <w:r>
        <w:rPr>
          <w:color w:val="FF0000"/>
        </w:rPr>
        <w:t>vs</w:t>
      </w:r>
      <w:proofErr w:type="spellEnd"/>
      <w:r>
        <w:rPr>
          <w:color w:val="FF0000"/>
        </w:rPr>
        <w:t xml:space="preserve"> 6 weeks of H2A</w:t>
      </w:r>
    </w:p>
    <w:p w14:paraId="64C1C328" w14:textId="77777777" w:rsidR="001D5ED2" w:rsidRDefault="001D5ED2" w:rsidP="001D5ED2">
      <w:pPr>
        <w:pStyle w:val="Heading2"/>
        <w:spacing w:line="360" w:lineRule="auto"/>
      </w:pPr>
    </w:p>
    <w:p w14:paraId="7868B1C4" w14:textId="77777777" w:rsidR="00212A28" w:rsidRDefault="00212A28" w:rsidP="00714D36">
      <w:pPr>
        <w:pStyle w:val="BodyText"/>
        <w:spacing w:line="360" w:lineRule="auto"/>
        <w:rPr>
          <w:b/>
        </w:rPr>
      </w:pPr>
    </w:p>
    <w:p w14:paraId="63789D0B" w14:textId="77777777" w:rsidR="00304AC2" w:rsidRDefault="00304AC2" w:rsidP="00714D36">
      <w:pPr>
        <w:pStyle w:val="BodyText"/>
        <w:spacing w:line="360" w:lineRule="auto"/>
        <w:rPr>
          <w:b/>
        </w:rPr>
      </w:pPr>
      <w:r>
        <w:rPr>
          <w:b/>
        </w:rPr>
        <w:t>Clinical Pearls</w:t>
      </w:r>
    </w:p>
    <w:p w14:paraId="252D9E1E" w14:textId="77777777" w:rsidR="00304AC2" w:rsidRDefault="00304AC2" w:rsidP="00714D36">
      <w:pPr>
        <w:pStyle w:val="Heading2"/>
        <w:numPr>
          <w:ilvl w:val="0"/>
          <w:numId w:val="18"/>
        </w:numPr>
        <w:spacing w:line="360" w:lineRule="auto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Pain usually diminishes or disappears during treatment </w:t>
      </w:r>
    </w:p>
    <w:p w14:paraId="6217A6AF" w14:textId="77777777" w:rsidR="00304AC2" w:rsidRDefault="00304AC2" w:rsidP="00714D36">
      <w:pPr>
        <w:pStyle w:val="Heading2"/>
        <w:numPr>
          <w:ilvl w:val="0"/>
          <w:numId w:val="7"/>
        </w:numPr>
        <w:spacing w:line="360" w:lineRule="auto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Recurrence of epigastric pain after healing often suggests an unhealed or recurrent ulcer</w:t>
      </w:r>
    </w:p>
    <w:p w14:paraId="406273D9" w14:textId="77777777" w:rsidR="00304AC2" w:rsidRDefault="00304AC2" w:rsidP="00714D36">
      <w:pPr>
        <w:numPr>
          <w:ilvl w:val="0"/>
          <w:numId w:val="7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PPIs are preferred to H</w:t>
      </w:r>
      <w:r>
        <w:rPr>
          <w:rFonts w:ascii="Arial" w:hAnsi="Arial" w:cs="Arial"/>
          <w:sz w:val="22"/>
          <w:vertAlign w:val="subscript"/>
        </w:rPr>
        <w:t>2</w:t>
      </w:r>
      <w:r>
        <w:rPr>
          <w:rFonts w:ascii="Arial" w:hAnsi="Arial" w:cs="Arial"/>
          <w:sz w:val="22"/>
        </w:rPr>
        <w:t xml:space="preserve">RAs or sucralfate for healing </w:t>
      </w:r>
      <w:r>
        <w:rPr>
          <w:rFonts w:ascii="Arial" w:hAnsi="Arial" w:cs="Arial"/>
          <w:i/>
          <w:iCs/>
          <w:sz w:val="22"/>
        </w:rPr>
        <w:t>H. pylori</w:t>
      </w:r>
      <w:r>
        <w:rPr>
          <w:rFonts w:ascii="Arial" w:hAnsi="Arial" w:cs="Arial"/>
          <w:sz w:val="22"/>
        </w:rPr>
        <w:t>-negative NSAID- induced ulcers because they accelerate ulcer healing and provide more effective relief of symptoms</w:t>
      </w:r>
    </w:p>
    <w:p w14:paraId="1C03115E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3CBE0C34" w14:textId="77777777" w:rsidR="001D5ED2" w:rsidRDefault="001D5ED2" w:rsidP="00714D36">
      <w:pPr>
        <w:spacing w:line="360" w:lineRule="auto"/>
        <w:rPr>
          <w:rFonts w:ascii="Arial" w:hAnsi="Arial" w:cs="Arial"/>
          <w:sz w:val="22"/>
        </w:rPr>
      </w:pPr>
    </w:p>
    <w:p w14:paraId="61E7048D" w14:textId="77777777" w:rsidR="00304AC2" w:rsidRDefault="00304AC2" w:rsidP="00714D36">
      <w:pPr>
        <w:pStyle w:val="Heading2"/>
        <w:spacing w:line="360" w:lineRule="auto"/>
        <w:rPr>
          <w:sz w:val="22"/>
        </w:rPr>
      </w:pPr>
      <w:r>
        <w:rPr>
          <w:sz w:val="22"/>
        </w:rPr>
        <w:t>Non-pharmacologic tx/Lifestyle modifications</w:t>
      </w:r>
    </w:p>
    <w:p w14:paraId="76A67102" w14:textId="1ED66509" w:rsidR="00304AC2" w:rsidRPr="00FB7FCF" w:rsidRDefault="00304AC2" w:rsidP="00714D36">
      <w:pPr>
        <w:numPr>
          <w:ilvl w:val="0"/>
          <w:numId w:val="15"/>
        </w:numPr>
        <w:spacing w:line="360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Eliminate or reduce psychological stress and cigarette smoking</w:t>
      </w:r>
      <w:r w:rsidR="00FB7FCF">
        <w:rPr>
          <w:rFonts w:ascii="Arial" w:hAnsi="Arial" w:cs="Arial"/>
          <w:sz w:val="22"/>
        </w:rPr>
        <w:t xml:space="preserve"> </w:t>
      </w:r>
      <w:r w:rsidR="00FB7FCF" w:rsidRPr="00FB7FCF">
        <w:rPr>
          <w:rFonts w:ascii="Arial" w:hAnsi="Arial" w:cs="Arial"/>
          <w:color w:val="FF0000"/>
          <w:sz w:val="22"/>
        </w:rPr>
        <w:t>(although not direct causes of ulcers; they are “risk factors”)</w:t>
      </w:r>
    </w:p>
    <w:p w14:paraId="6A4A471F" w14:textId="77777777" w:rsidR="00304AC2" w:rsidRDefault="00304AC2" w:rsidP="00714D36">
      <w:pPr>
        <w:numPr>
          <w:ilvl w:val="0"/>
          <w:numId w:val="15"/>
        </w:numPr>
        <w:spacing w:line="360" w:lineRule="auto"/>
        <w:rPr>
          <w:sz w:val="22"/>
        </w:rPr>
      </w:pPr>
      <w:r>
        <w:rPr>
          <w:rFonts w:ascii="Arial" w:hAnsi="Arial" w:cs="Arial"/>
          <w:sz w:val="22"/>
        </w:rPr>
        <w:t xml:space="preserve">Avoid foods and beverages (e.g., spicy foods, caffeine, and alcohol) that cause dyspepsia or that exacerbate ulcer symptoms  </w:t>
      </w:r>
    </w:p>
    <w:p w14:paraId="3E975198" w14:textId="36B82F4F" w:rsidR="00304AC2" w:rsidRDefault="00304AC2" w:rsidP="00714D36">
      <w:pPr>
        <w:numPr>
          <w:ilvl w:val="0"/>
          <w:numId w:val="15"/>
        </w:numPr>
        <w:spacing w:line="360" w:lineRule="auto"/>
        <w:rPr>
          <w:sz w:val="22"/>
        </w:rPr>
      </w:pPr>
      <w:r>
        <w:rPr>
          <w:rFonts w:ascii="Arial" w:hAnsi="Arial" w:cs="Arial"/>
          <w:sz w:val="22"/>
        </w:rPr>
        <w:t>Alternate methods for pain relief</w:t>
      </w:r>
      <w:r w:rsidR="00D21A22">
        <w:rPr>
          <w:rFonts w:ascii="Arial" w:hAnsi="Arial" w:cs="Arial"/>
          <w:sz w:val="22"/>
        </w:rPr>
        <w:t xml:space="preserve"> </w:t>
      </w:r>
      <w:r w:rsidR="00D21A22" w:rsidRPr="00D21A22">
        <w:rPr>
          <w:rFonts w:ascii="Arial" w:hAnsi="Arial" w:cs="Arial"/>
          <w:color w:val="FF0000"/>
          <w:sz w:val="22"/>
        </w:rPr>
        <w:t>other than NSAIDs</w:t>
      </w:r>
    </w:p>
    <w:p w14:paraId="4E220C2F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0B3A4A5C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56435262" w14:textId="4723C416" w:rsidR="00304AC2" w:rsidRDefault="00304AC2" w:rsidP="00714D36">
      <w:pPr>
        <w:pStyle w:val="Heading2"/>
        <w:spacing w:line="360" w:lineRule="auto"/>
        <w:rPr>
          <w:sz w:val="22"/>
        </w:rPr>
      </w:pPr>
      <w:r>
        <w:rPr>
          <w:sz w:val="22"/>
        </w:rPr>
        <w:t>Complications</w:t>
      </w:r>
      <w:r w:rsidR="00A70671" w:rsidRPr="00A70671">
        <w:rPr>
          <w:color w:val="FF0000"/>
          <w:sz w:val="22"/>
        </w:rPr>
        <w:t xml:space="preserve"> 22:00</w:t>
      </w:r>
    </w:p>
    <w:p w14:paraId="6FBC64D2" w14:textId="77777777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GI bleeding </w:t>
      </w:r>
    </w:p>
    <w:p w14:paraId="2974C9B9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Most common complication</w:t>
      </w:r>
    </w:p>
    <w:p w14:paraId="006B7462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Occurs in about 10-15% of patients, more in patients &gt;60 </w:t>
      </w:r>
      <w:proofErr w:type="spellStart"/>
      <w:r>
        <w:rPr>
          <w:rFonts w:ascii="Arial" w:hAnsi="Arial" w:cs="Arial"/>
          <w:sz w:val="22"/>
        </w:rPr>
        <w:t>y.o</w:t>
      </w:r>
      <w:proofErr w:type="spellEnd"/>
      <w:r>
        <w:rPr>
          <w:rFonts w:ascii="Arial" w:hAnsi="Arial" w:cs="Arial"/>
          <w:sz w:val="22"/>
        </w:rPr>
        <w:t>.</w:t>
      </w:r>
    </w:p>
    <w:p w14:paraId="355C9397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Caused by the erosion of an ulcer into an artery </w:t>
      </w:r>
    </w:p>
    <w:p w14:paraId="3B96E658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May be occult (hidden) and insidious, or may present as melena (black-colored stools) or hematemesis </w:t>
      </w:r>
    </w:p>
    <w:p w14:paraId="270F7ED2" w14:textId="4578C5C2" w:rsidR="00304AC2" w:rsidRPr="00D21A2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 xml:space="preserve">The most important risk factor for upper GI bleeding is </w:t>
      </w:r>
      <w:r w:rsidR="00D21A22">
        <w:rPr>
          <w:rFonts w:ascii="Arial" w:hAnsi="Arial" w:cs="Arial"/>
          <w:sz w:val="22"/>
        </w:rPr>
        <w:t xml:space="preserve">the </w:t>
      </w:r>
      <w:r w:rsidR="00D21A22" w:rsidRPr="00D21A22">
        <w:rPr>
          <w:rFonts w:ascii="Arial" w:hAnsi="Arial" w:cs="Arial"/>
          <w:color w:val="FF0000"/>
          <w:sz w:val="22"/>
        </w:rPr>
        <w:t xml:space="preserve">use of NSAIDS (especially in older adults) </w:t>
      </w:r>
    </w:p>
    <w:p w14:paraId="18810CF7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Deaths occur in patients who continue to bleed, or in patients who rebleed after initial bleeding has stopped</w:t>
      </w:r>
    </w:p>
    <w:p w14:paraId="29DB2EEE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Treated with endoscopic therapy and/or drug therapy</w:t>
      </w:r>
    </w:p>
    <w:p w14:paraId="58A43A13" w14:textId="77777777" w:rsidR="00304AC2" w:rsidRDefault="00304AC2" w:rsidP="00714D36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High dose PPI infusion to keep pH &gt;6 decreases further bleeding in patients with a </w:t>
      </w:r>
      <w:r>
        <w:rPr>
          <w:rFonts w:ascii="Arial" w:hAnsi="Arial" w:cs="Arial"/>
          <w:sz w:val="22"/>
          <w:u w:val="single"/>
        </w:rPr>
        <w:t>high-risk</w:t>
      </w:r>
      <w:r>
        <w:rPr>
          <w:rFonts w:ascii="Arial" w:hAnsi="Arial" w:cs="Arial"/>
          <w:sz w:val="22"/>
        </w:rPr>
        <w:t xml:space="preserve"> bleed</w:t>
      </w:r>
    </w:p>
    <w:p w14:paraId="2F54CE09" w14:textId="4ECA74D9" w:rsidR="00304AC2" w:rsidRDefault="008B7497" w:rsidP="00714D36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</w:rPr>
      </w:pPr>
      <w:r w:rsidRPr="008B7497">
        <w:rPr>
          <w:rFonts w:ascii="Arial" w:hAnsi="Arial" w:cs="Arial"/>
          <w:color w:val="FF0000"/>
          <w:sz w:val="22"/>
        </w:rPr>
        <w:t>Pantoprazole (NOT the omeprazole)</w:t>
      </w:r>
      <w:r w:rsidR="00304AC2">
        <w:rPr>
          <w:rFonts w:ascii="Arial" w:hAnsi="Arial" w:cs="Arial"/>
          <w:sz w:val="22"/>
        </w:rPr>
        <w:t xml:space="preserve"> 80mg IV bolus, followed by 8mg/hr infusion x 48-72 hrs</w:t>
      </w:r>
    </w:p>
    <w:p w14:paraId="6370EEA8" w14:textId="77777777" w:rsidR="00850E21" w:rsidRDefault="00850E21" w:rsidP="001D5ED2">
      <w:pPr>
        <w:spacing w:line="360" w:lineRule="auto"/>
        <w:rPr>
          <w:rFonts w:ascii="Arial" w:hAnsi="Arial" w:cs="Arial"/>
          <w:sz w:val="22"/>
        </w:rPr>
      </w:pPr>
    </w:p>
    <w:p w14:paraId="7E80967E" w14:textId="77777777" w:rsidR="009B5F22" w:rsidRDefault="009B5F22" w:rsidP="001D5ED2">
      <w:pPr>
        <w:spacing w:line="360" w:lineRule="auto"/>
        <w:rPr>
          <w:rFonts w:ascii="Arial" w:hAnsi="Arial" w:cs="Arial"/>
          <w:sz w:val="22"/>
        </w:rPr>
      </w:pPr>
    </w:p>
    <w:p w14:paraId="261A5C75" w14:textId="42264F57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lastRenderedPageBreak/>
        <w:t>Perforation</w:t>
      </w:r>
      <w:r w:rsidR="00A70671">
        <w:rPr>
          <w:rFonts w:ascii="Arial" w:hAnsi="Arial" w:cs="Arial"/>
          <w:sz w:val="22"/>
        </w:rPr>
        <w:t xml:space="preserve">  </w:t>
      </w:r>
      <w:r w:rsidR="00A70671" w:rsidRPr="00A70671">
        <w:rPr>
          <w:rFonts w:ascii="Arial" w:hAnsi="Arial" w:cs="Arial"/>
          <w:color w:val="FF0000"/>
          <w:sz w:val="22"/>
        </w:rPr>
        <w:t>22:40</w:t>
      </w:r>
      <w:proofErr w:type="gramEnd"/>
    </w:p>
    <w:p w14:paraId="5C59B192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Occurs in 6-7% of patients</w:t>
      </w:r>
    </w:p>
    <w:p w14:paraId="77FE094C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Incidence increasing with increased use of NSAIDs</w:t>
      </w:r>
    </w:p>
    <w:p w14:paraId="67B7B1F3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Ulcer-related perforation into the peritoneal cavity</w:t>
      </w:r>
    </w:p>
    <w:p w14:paraId="0D32B589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Mortality is usually higher for perforated gastric ulcer than duodenal ulcer</w:t>
      </w:r>
    </w:p>
    <w:p w14:paraId="6D6AFEB7" w14:textId="77777777" w:rsidR="00850E21" w:rsidRDefault="00850E21" w:rsidP="00714D36">
      <w:pPr>
        <w:spacing w:line="360" w:lineRule="auto"/>
        <w:rPr>
          <w:rFonts w:ascii="Arial" w:hAnsi="Arial" w:cs="Arial"/>
          <w:sz w:val="22"/>
        </w:rPr>
      </w:pPr>
    </w:p>
    <w:p w14:paraId="3CBAAA4B" w14:textId="77777777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Gastric outlet obstruction</w:t>
      </w:r>
    </w:p>
    <w:p w14:paraId="6023C3CE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Occurs in about 2% of patients</w:t>
      </w:r>
    </w:p>
    <w:p w14:paraId="571B9764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Mechanical obstruction is caused by scarring or edema of the duodenal bulb or pyloric channel and can lead to gastric retention</w:t>
      </w:r>
    </w:p>
    <w:p w14:paraId="588BC433" w14:textId="77777777" w:rsidR="00304AC2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Perforation, penetration, and gastric outlet obstruction occur most often in patients with long-standing PUD</w:t>
      </w:r>
    </w:p>
    <w:p w14:paraId="04F2AF73" w14:textId="77777777" w:rsidR="00850E21" w:rsidRDefault="00850E21" w:rsidP="001D5ED2">
      <w:pPr>
        <w:spacing w:line="360" w:lineRule="auto"/>
        <w:rPr>
          <w:rFonts w:ascii="Arial" w:hAnsi="Arial" w:cs="Arial"/>
          <w:sz w:val="22"/>
        </w:rPr>
      </w:pPr>
    </w:p>
    <w:p w14:paraId="43BC7C52" w14:textId="76AC6D6B" w:rsidR="00911BC2" w:rsidRDefault="00304AC2" w:rsidP="007D3B3B">
      <w:pPr>
        <w:pStyle w:val="Heading2"/>
        <w:spacing w:line="360" w:lineRule="auto"/>
        <w:rPr>
          <w:sz w:val="22"/>
        </w:rPr>
      </w:pPr>
      <w:r>
        <w:rPr>
          <w:sz w:val="22"/>
        </w:rPr>
        <w:t>Stress-Related Mucosal Damage (S</w:t>
      </w:r>
      <w:r w:rsidR="009B5F22">
        <w:rPr>
          <w:sz w:val="22"/>
        </w:rPr>
        <w:t>RMD</w:t>
      </w:r>
      <w:proofErr w:type="gramStart"/>
      <w:r w:rsidR="009B5F22">
        <w:rPr>
          <w:sz w:val="22"/>
        </w:rPr>
        <w:t xml:space="preserve">) </w:t>
      </w:r>
      <w:r w:rsidR="00A70671">
        <w:rPr>
          <w:sz w:val="22"/>
        </w:rPr>
        <w:t xml:space="preserve">  </w:t>
      </w:r>
      <w:r w:rsidR="00A70671" w:rsidRPr="00A70671">
        <w:rPr>
          <w:b w:val="0"/>
          <w:color w:val="FF0000"/>
          <w:sz w:val="22"/>
        </w:rPr>
        <w:t>23:30</w:t>
      </w:r>
      <w:proofErr w:type="gramEnd"/>
    </w:p>
    <w:p w14:paraId="6D4176DD" w14:textId="63A227BE" w:rsidR="001D5ED2" w:rsidRPr="00911BC2" w:rsidRDefault="00911BC2" w:rsidP="007D3B3B">
      <w:pPr>
        <w:pStyle w:val="Heading2"/>
        <w:spacing w:line="360" w:lineRule="auto"/>
        <w:rPr>
          <w:color w:val="FF0000"/>
          <w:sz w:val="22"/>
        </w:rPr>
      </w:pPr>
      <w:r w:rsidRPr="00911BC2">
        <w:rPr>
          <w:color w:val="FF0000"/>
          <w:sz w:val="22"/>
        </w:rPr>
        <w:t>(</w:t>
      </w:r>
      <w:proofErr w:type="gramStart"/>
      <w:r w:rsidRPr="00911BC2">
        <w:rPr>
          <w:color w:val="FF0000"/>
          <w:sz w:val="22"/>
        </w:rPr>
        <w:t>physiological</w:t>
      </w:r>
      <w:proofErr w:type="gramEnd"/>
      <w:r w:rsidRPr="00911BC2">
        <w:rPr>
          <w:color w:val="FF0000"/>
          <w:sz w:val="22"/>
        </w:rPr>
        <w:t xml:space="preserve"> STRESS</w:t>
      </w:r>
      <w:r w:rsidR="005F5F41">
        <w:rPr>
          <w:color w:val="FF0000"/>
          <w:sz w:val="22"/>
        </w:rPr>
        <w:t xml:space="preserve"> ie result of burn complications, </w:t>
      </w:r>
      <w:proofErr w:type="spellStart"/>
      <w:r w:rsidR="005F5F41">
        <w:rPr>
          <w:color w:val="FF0000"/>
          <w:sz w:val="22"/>
        </w:rPr>
        <w:t>etc</w:t>
      </w:r>
      <w:proofErr w:type="spellEnd"/>
      <w:r w:rsidRPr="00911BC2">
        <w:rPr>
          <w:color w:val="FF0000"/>
          <w:sz w:val="22"/>
        </w:rPr>
        <w:t>…not test anxiety stress)</w:t>
      </w:r>
    </w:p>
    <w:p w14:paraId="0379DCF2" w14:textId="77777777" w:rsidR="007D3B3B" w:rsidRDefault="007D3B3B" w:rsidP="007D3B3B">
      <w:pPr>
        <w:jc w:val="center"/>
      </w:pPr>
      <w:r>
        <w:rPr>
          <w:noProof/>
        </w:rPr>
        <w:drawing>
          <wp:inline distT="0" distB="0" distL="0" distR="0" wp14:anchorId="3B618B8F" wp14:editId="2833B661">
            <wp:extent cx="4943915" cy="33832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d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91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FAD" w14:textId="77777777" w:rsidR="007D3B3B" w:rsidRDefault="007D3B3B" w:rsidP="001D5ED2"/>
    <w:p w14:paraId="1880AFCB" w14:textId="77777777" w:rsidR="007D3B3B" w:rsidRDefault="007D3B3B" w:rsidP="001D5ED2">
      <w:bookmarkStart w:id="0" w:name="_GoBack"/>
      <w:bookmarkEnd w:id="0"/>
    </w:p>
    <w:p w14:paraId="1BE4C09C" w14:textId="77777777" w:rsidR="009B5F22" w:rsidRDefault="009B5F22" w:rsidP="001D5ED2"/>
    <w:p w14:paraId="31BDED8D" w14:textId="77777777" w:rsidR="007D3B3B" w:rsidRDefault="007D3B3B" w:rsidP="001D5ED2"/>
    <w:p w14:paraId="5E4EFBA2" w14:textId="77777777" w:rsidR="007D3B3B" w:rsidRPr="001D5ED2" w:rsidRDefault="007D3B3B" w:rsidP="001D5ED2"/>
    <w:p w14:paraId="171865A6" w14:textId="77777777" w:rsidR="009B5F22" w:rsidRDefault="009B5F2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Also called stress-induced ulcers or stress ulcers</w:t>
      </w:r>
    </w:p>
    <w:p w14:paraId="1E004515" w14:textId="25501AC5" w:rsidR="00304AC2" w:rsidRDefault="00304AC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Goal of treatment is </w:t>
      </w:r>
      <w:r w:rsidR="005F5F41" w:rsidRPr="005F5F41">
        <w:rPr>
          <w:rFonts w:ascii="Arial" w:hAnsi="Arial" w:cs="Arial"/>
          <w:color w:val="FF0000"/>
          <w:sz w:val="22"/>
        </w:rPr>
        <w:t>PREVENTION</w:t>
      </w:r>
    </w:p>
    <w:p w14:paraId="0B66FDD0" w14:textId="77777777" w:rsidR="001D5ED2" w:rsidRPr="00714D36" w:rsidRDefault="001D5ED2" w:rsidP="001D5ED2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Risk factors- hospitalization and at least one of the following:</w:t>
      </w:r>
    </w:p>
    <w:p w14:paraId="0923DD79" w14:textId="20CA4401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Respiratory failure</w:t>
      </w:r>
      <w:r w:rsidR="008B4539">
        <w:rPr>
          <w:rFonts w:ascii="Arial" w:hAnsi="Arial" w:cs="Arial"/>
          <w:sz w:val="22"/>
        </w:rPr>
        <w:t xml:space="preserve"> </w:t>
      </w:r>
      <w:r w:rsidR="008B4539" w:rsidRPr="008B4539">
        <w:rPr>
          <w:rFonts w:ascii="Arial" w:hAnsi="Arial" w:cs="Arial"/>
          <w:color w:val="FF0000"/>
          <w:sz w:val="22"/>
        </w:rPr>
        <w:t>needing mechanical ventilations for 48 hrs</w:t>
      </w:r>
      <w:r w:rsidR="008B4539">
        <w:rPr>
          <w:rFonts w:ascii="Arial" w:hAnsi="Arial" w:cs="Arial"/>
          <w:sz w:val="22"/>
        </w:rPr>
        <w:t xml:space="preserve"> </w:t>
      </w:r>
    </w:p>
    <w:p w14:paraId="3FF41451" w14:textId="0A9FA824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Coagulopathy</w:t>
      </w:r>
      <w:r w:rsidR="008B4539">
        <w:rPr>
          <w:rFonts w:ascii="Arial" w:hAnsi="Arial" w:cs="Arial"/>
          <w:sz w:val="22"/>
        </w:rPr>
        <w:t xml:space="preserve"> </w:t>
      </w:r>
      <w:r w:rsidR="008B4539" w:rsidRPr="008B4539">
        <w:rPr>
          <w:rFonts w:ascii="Arial" w:hAnsi="Arial" w:cs="Arial"/>
          <w:color w:val="FF0000"/>
          <w:sz w:val="22"/>
        </w:rPr>
        <w:t>(INR &gt;1.5 or PLT &lt;50,000)</w:t>
      </w:r>
    </w:p>
    <w:p w14:paraId="11BC4B75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Anticoagulation</w:t>
      </w:r>
    </w:p>
    <w:p w14:paraId="7FA78DC8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Hypotension</w:t>
      </w:r>
    </w:p>
    <w:p w14:paraId="59F74065" w14:textId="2A023563" w:rsidR="001D5ED2" w:rsidRPr="008B4539" w:rsidRDefault="001D5ED2" w:rsidP="001D5ED2">
      <w:pPr>
        <w:numPr>
          <w:ilvl w:val="1"/>
          <w:numId w:val="16"/>
        </w:numPr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t>Severe burns</w:t>
      </w:r>
      <w:r w:rsidR="008B4539">
        <w:rPr>
          <w:rFonts w:ascii="Arial" w:hAnsi="Arial" w:cs="Arial"/>
          <w:sz w:val="22"/>
        </w:rPr>
        <w:t xml:space="preserve"> </w:t>
      </w:r>
      <w:r w:rsidR="008B4539" w:rsidRPr="008B4539">
        <w:rPr>
          <w:rFonts w:ascii="Arial" w:hAnsi="Arial" w:cs="Arial"/>
          <w:color w:val="FF0000"/>
          <w:sz w:val="22"/>
        </w:rPr>
        <w:t>(&gt;35% of BSA)</w:t>
      </w:r>
    </w:p>
    <w:p w14:paraId="7D6E3D93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Sepsis </w:t>
      </w:r>
    </w:p>
    <w:p w14:paraId="093D3D45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Acute renal or hepatic failure</w:t>
      </w:r>
    </w:p>
    <w:p w14:paraId="0D644621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Multiple trauma</w:t>
      </w:r>
    </w:p>
    <w:p w14:paraId="5AE30D18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Severe head or spinal cord injury</w:t>
      </w:r>
    </w:p>
    <w:p w14:paraId="537A38E5" w14:textId="77777777" w:rsidR="001D5ED2" w:rsidRPr="00714D36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H/o GIB</w:t>
      </w:r>
    </w:p>
    <w:p w14:paraId="12E5879B" w14:textId="31C6D54E" w:rsidR="001D5ED2" w:rsidRDefault="001D5ED2" w:rsidP="001D5ED2">
      <w:pPr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Major surgery</w:t>
      </w:r>
      <w:r w:rsidR="008B4539">
        <w:rPr>
          <w:rFonts w:ascii="Arial" w:hAnsi="Arial" w:cs="Arial"/>
          <w:sz w:val="22"/>
        </w:rPr>
        <w:t xml:space="preserve"> </w:t>
      </w:r>
      <w:r w:rsidR="008B4539" w:rsidRPr="008B4539">
        <w:rPr>
          <w:rFonts w:ascii="Arial" w:hAnsi="Arial" w:cs="Arial"/>
          <w:color w:val="FF0000"/>
          <w:sz w:val="22"/>
        </w:rPr>
        <w:t>(lasting &gt;4 hrs)</w:t>
      </w:r>
    </w:p>
    <w:p w14:paraId="0A8FF3B1" w14:textId="77777777" w:rsidR="00304AC2" w:rsidRDefault="00304AC2" w:rsidP="00714D36">
      <w:pPr>
        <w:spacing w:line="360" w:lineRule="auto"/>
        <w:rPr>
          <w:rFonts w:ascii="Arial" w:hAnsi="Arial" w:cs="Arial"/>
          <w:sz w:val="22"/>
        </w:rPr>
      </w:pPr>
    </w:p>
    <w:p w14:paraId="08828388" w14:textId="77777777" w:rsidR="007E15C9" w:rsidRDefault="007E15C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F84917C" w14:textId="6AF307E3" w:rsidR="00304AC2" w:rsidRDefault="001D5ED2" w:rsidP="00714D36">
      <w:pPr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Prophylaxis regimens</w:t>
      </w:r>
    </w:p>
    <w:p w14:paraId="2BCE2720" w14:textId="347D9F6C" w:rsidR="00304AC2" w:rsidRPr="0018728D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u w:val="single"/>
        </w:rPr>
      </w:pPr>
      <w:r w:rsidRPr="0018728D">
        <w:rPr>
          <w:rFonts w:ascii="Arial" w:hAnsi="Arial" w:cs="Arial"/>
          <w:sz w:val="22"/>
          <w:u w:val="single"/>
        </w:rPr>
        <w:t>H2-antagonist</w:t>
      </w:r>
      <w:r w:rsidR="00EE0569" w:rsidRPr="0018728D">
        <w:rPr>
          <w:rFonts w:ascii="Arial" w:hAnsi="Arial" w:cs="Arial"/>
          <w:sz w:val="22"/>
          <w:u w:val="single"/>
        </w:rPr>
        <w:t xml:space="preserve"> </w:t>
      </w:r>
    </w:p>
    <w:p w14:paraId="1EBFD1BD" w14:textId="77777777" w:rsidR="00304AC2" w:rsidRDefault="00304AC2" w:rsidP="00714D36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Famotidine</w:t>
      </w:r>
      <w:r w:rsidR="00C64EF0">
        <w:rPr>
          <w:rFonts w:ascii="Arial" w:hAnsi="Arial" w:cs="Arial"/>
          <w:sz w:val="22"/>
        </w:rPr>
        <w:t xml:space="preserve"> 20</w:t>
      </w:r>
      <w:r w:rsidR="00D27A76">
        <w:rPr>
          <w:rFonts w:ascii="Arial" w:hAnsi="Arial" w:cs="Arial"/>
          <w:sz w:val="22"/>
        </w:rPr>
        <w:t xml:space="preserve"> </w:t>
      </w:r>
      <w:r w:rsidR="00C64EF0">
        <w:rPr>
          <w:rFonts w:ascii="Arial" w:hAnsi="Arial" w:cs="Arial"/>
          <w:sz w:val="22"/>
        </w:rPr>
        <w:t xml:space="preserve">mg </w:t>
      </w:r>
      <w:r w:rsidR="000F2E27">
        <w:rPr>
          <w:rFonts w:ascii="Arial" w:hAnsi="Arial" w:cs="Arial"/>
          <w:sz w:val="22"/>
        </w:rPr>
        <w:t xml:space="preserve">PO/IV </w:t>
      </w:r>
      <w:r w:rsidR="00C64EF0">
        <w:rPr>
          <w:rFonts w:ascii="Arial" w:hAnsi="Arial" w:cs="Arial"/>
          <w:sz w:val="22"/>
        </w:rPr>
        <w:t>q12hrs</w:t>
      </w:r>
    </w:p>
    <w:p w14:paraId="3FDE14B4" w14:textId="77777777" w:rsidR="00850E21" w:rsidRPr="00E957F0" w:rsidRDefault="00304AC2" w:rsidP="001D5ED2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Ranitidine</w:t>
      </w:r>
      <w:r w:rsidR="00C64EF0">
        <w:rPr>
          <w:rFonts w:ascii="Arial" w:hAnsi="Arial" w:cs="Arial"/>
          <w:sz w:val="22"/>
        </w:rPr>
        <w:t xml:space="preserve"> 150</w:t>
      </w:r>
      <w:r w:rsidR="00D27A76">
        <w:rPr>
          <w:rFonts w:ascii="Arial" w:hAnsi="Arial" w:cs="Arial"/>
          <w:sz w:val="22"/>
        </w:rPr>
        <w:t xml:space="preserve"> </w:t>
      </w:r>
      <w:r w:rsidR="00C64EF0">
        <w:rPr>
          <w:rFonts w:ascii="Arial" w:hAnsi="Arial" w:cs="Arial"/>
          <w:sz w:val="22"/>
        </w:rPr>
        <w:t xml:space="preserve">mg </w:t>
      </w:r>
      <w:r w:rsidR="0029020E">
        <w:rPr>
          <w:rFonts w:ascii="Arial" w:hAnsi="Arial" w:cs="Arial"/>
          <w:sz w:val="22"/>
        </w:rPr>
        <w:t>PO</w:t>
      </w:r>
      <w:r w:rsidR="000F2E27">
        <w:rPr>
          <w:rFonts w:ascii="Arial" w:hAnsi="Arial" w:cs="Arial"/>
          <w:sz w:val="22"/>
        </w:rPr>
        <w:t xml:space="preserve"> </w:t>
      </w:r>
      <w:r w:rsidR="00C64EF0">
        <w:rPr>
          <w:rFonts w:ascii="Arial" w:hAnsi="Arial" w:cs="Arial"/>
          <w:sz w:val="22"/>
        </w:rPr>
        <w:t>q12hrs</w:t>
      </w:r>
      <w:r w:rsidR="00D27A76">
        <w:rPr>
          <w:rFonts w:ascii="Arial" w:hAnsi="Arial" w:cs="Arial"/>
          <w:sz w:val="22"/>
        </w:rPr>
        <w:t xml:space="preserve"> </w:t>
      </w:r>
    </w:p>
    <w:p w14:paraId="45CD1D73" w14:textId="6CE0D006" w:rsidR="00304AC2" w:rsidRPr="0018728D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u w:val="single"/>
        </w:rPr>
      </w:pPr>
      <w:r w:rsidRPr="0018728D">
        <w:rPr>
          <w:rFonts w:ascii="Arial" w:hAnsi="Arial" w:cs="Arial"/>
          <w:sz w:val="22"/>
          <w:u w:val="single"/>
        </w:rPr>
        <w:t>PPI</w:t>
      </w:r>
      <w:r w:rsidR="0018728D">
        <w:rPr>
          <w:rFonts w:ascii="Arial" w:hAnsi="Arial" w:cs="Arial"/>
          <w:sz w:val="22"/>
          <w:u w:val="single"/>
        </w:rPr>
        <w:t xml:space="preserve"> </w:t>
      </w:r>
      <w:r w:rsidR="0018728D">
        <w:rPr>
          <w:rFonts w:ascii="Arial" w:hAnsi="Arial" w:cs="Arial"/>
          <w:sz w:val="22"/>
        </w:rPr>
        <w:t>(</w:t>
      </w:r>
      <w:r w:rsidR="0018728D" w:rsidRPr="0018728D">
        <w:rPr>
          <w:rFonts w:ascii="Arial" w:hAnsi="Arial" w:cs="Arial"/>
          <w:color w:val="FF0000"/>
          <w:sz w:val="22"/>
        </w:rPr>
        <w:t>PPI has not been proven superior</w:t>
      </w:r>
      <w:r w:rsidR="0018728D">
        <w:rPr>
          <w:rFonts w:ascii="Arial" w:hAnsi="Arial" w:cs="Arial"/>
          <w:sz w:val="22"/>
        </w:rPr>
        <w:t>)</w:t>
      </w:r>
    </w:p>
    <w:p w14:paraId="68EF995F" w14:textId="77777777" w:rsidR="00C64EF0" w:rsidRDefault="00C64EF0" w:rsidP="00714D36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Pantoprazole 40</w:t>
      </w:r>
      <w:r w:rsidR="00D27A7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mg </w:t>
      </w:r>
      <w:r w:rsidR="000F2E27">
        <w:rPr>
          <w:rFonts w:ascii="Arial" w:hAnsi="Arial" w:cs="Arial"/>
          <w:sz w:val="22"/>
        </w:rPr>
        <w:t xml:space="preserve">PO/IV </w:t>
      </w:r>
      <w:r>
        <w:rPr>
          <w:rFonts w:ascii="Arial" w:hAnsi="Arial" w:cs="Arial"/>
          <w:sz w:val="22"/>
        </w:rPr>
        <w:t>q24hrs</w:t>
      </w:r>
    </w:p>
    <w:p w14:paraId="4ADBAE1F" w14:textId="277176B8" w:rsidR="00850E21" w:rsidRPr="00E957F0" w:rsidRDefault="00C64EF0" w:rsidP="00E957F0">
      <w:pPr>
        <w:numPr>
          <w:ilvl w:val="2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Omeprazole 20</w:t>
      </w:r>
      <w:r w:rsidR="00D27A76">
        <w:rPr>
          <w:rFonts w:ascii="Arial" w:hAnsi="Arial" w:cs="Arial"/>
          <w:sz w:val="22"/>
        </w:rPr>
        <w:t xml:space="preserve">-40 </w:t>
      </w:r>
      <w:r>
        <w:rPr>
          <w:rFonts w:ascii="Arial" w:hAnsi="Arial" w:cs="Arial"/>
          <w:sz w:val="22"/>
        </w:rPr>
        <w:t xml:space="preserve">mg </w:t>
      </w:r>
      <w:r w:rsidR="007E15C9">
        <w:rPr>
          <w:rFonts w:ascii="Arial" w:hAnsi="Arial" w:cs="Arial"/>
          <w:sz w:val="22"/>
        </w:rPr>
        <w:t xml:space="preserve">PO </w:t>
      </w:r>
      <w:r w:rsidR="007E15C9" w:rsidRPr="007E15C9">
        <w:rPr>
          <w:rFonts w:ascii="Arial" w:hAnsi="Arial" w:cs="Arial"/>
          <w:color w:val="FF0000"/>
          <w:sz w:val="22"/>
        </w:rPr>
        <w:t>(not IV)</w:t>
      </w:r>
      <w:r w:rsidR="000F2E2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q24hrs</w:t>
      </w:r>
      <w:r w:rsidR="00A1209E">
        <w:rPr>
          <w:rFonts w:ascii="Arial" w:hAnsi="Arial" w:cs="Arial"/>
          <w:sz w:val="22"/>
        </w:rPr>
        <w:t xml:space="preserve"> (2 loading doses </w:t>
      </w:r>
      <w:r w:rsidR="000F2E27">
        <w:rPr>
          <w:rFonts w:ascii="Arial" w:hAnsi="Arial" w:cs="Arial"/>
          <w:sz w:val="22"/>
        </w:rPr>
        <w:t xml:space="preserve">of 40 mg 6-8 hrs x 2 doses </w:t>
      </w:r>
      <w:r w:rsidR="00A1209E">
        <w:rPr>
          <w:rFonts w:ascii="Arial" w:hAnsi="Arial" w:cs="Arial"/>
          <w:sz w:val="22"/>
        </w:rPr>
        <w:t>then 40mg q24hrs for</w:t>
      </w:r>
      <w:r w:rsidR="000F2E27">
        <w:rPr>
          <w:rFonts w:ascii="Arial" w:hAnsi="Arial" w:cs="Arial"/>
          <w:sz w:val="22"/>
        </w:rPr>
        <w:t xml:space="preserve"> Zegerid</w:t>
      </w:r>
      <w:r w:rsidR="00A1209E">
        <w:rPr>
          <w:rFonts w:ascii="Arial" w:hAnsi="Arial" w:cs="Arial"/>
          <w:sz w:val="22"/>
        </w:rPr>
        <w:t xml:space="preserve"> oral suspension)</w:t>
      </w:r>
    </w:p>
    <w:p w14:paraId="68B3C894" w14:textId="77777777" w:rsidR="00850E21" w:rsidRDefault="00304AC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Sucralfate</w:t>
      </w:r>
      <w:r w:rsidR="00C64EF0">
        <w:rPr>
          <w:rFonts w:ascii="Arial" w:hAnsi="Arial" w:cs="Arial"/>
          <w:sz w:val="22"/>
        </w:rPr>
        <w:t xml:space="preserve"> 1g four times daily</w:t>
      </w:r>
    </w:p>
    <w:p w14:paraId="5422D67E" w14:textId="77777777" w:rsidR="00D27A76" w:rsidRPr="00D27A76" w:rsidRDefault="00D27A76" w:rsidP="00D27A76">
      <w:pPr>
        <w:spacing w:line="360" w:lineRule="auto"/>
        <w:ind w:left="1440"/>
        <w:rPr>
          <w:rFonts w:ascii="Arial" w:hAnsi="Arial" w:cs="Arial"/>
          <w:sz w:val="22"/>
        </w:rPr>
      </w:pPr>
    </w:p>
    <w:p w14:paraId="578B7BDC" w14:textId="2608F7CC" w:rsidR="00304AC2" w:rsidRPr="0018728D" w:rsidRDefault="001D5ED2" w:rsidP="00714D36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>Oral,</w:t>
      </w:r>
      <w:r w:rsidR="00304AC2">
        <w:rPr>
          <w:rFonts w:ascii="Arial" w:hAnsi="Arial" w:cs="Arial"/>
          <w:sz w:val="22"/>
        </w:rPr>
        <w:t xml:space="preserve"> feeding tube, or IV</w:t>
      </w:r>
      <w:r>
        <w:rPr>
          <w:rFonts w:ascii="Arial" w:hAnsi="Arial" w:cs="Arial"/>
          <w:sz w:val="22"/>
        </w:rPr>
        <w:t xml:space="preserve"> routes</w:t>
      </w:r>
      <w:r w:rsidR="00A1209E">
        <w:rPr>
          <w:rFonts w:ascii="Arial" w:hAnsi="Arial" w:cs="Arial"/>
          <w:sz w:val="22"/>
        </w:rPr>
        <w:t xml:space="preserve">- </w:t>
      </w:r>
      <w:r w:rsidR="00A1209E" w:rsidRPr="0018728D">
        <w:rPr>
          <w:rFonts w:ascii="Arial" w:hAnsi="Arial" w:cs="Arial"/>
          <w:sz w:val="22"/>
          <w:u w:val="single"/>
        </w:rPr>
        <w:t xml:space="preserve">switch from IV </w:t>
      </w:r>
      <w:r w:rsidRPr="0018728D">
        <w:rPr>
          <w:rFonts w:ascii="Arial" w:hAnsi="Arial" w:cs="Arial"/>
          <w:sz w:val="22"/>
          <w:u w:val="single"/>
        </w:rPr>
        <w:t xml:space="preserve">to enteral </w:t>
      </w:r>
      <w:r w:rsidR="00A1209E" w:rsidRPr="0018728D">
        <w:rPr>
          <w:rFonts w:ascii="Arial" w:hAnsi="Arial" w:cs="Arial"/>
          <w:sz w:val="22"/>
          <w:u w:val="single"/>
        </w:rPr>
        <w:t>when able</w:t>
      </w:r>
      <w:r w:rsidR="0018728D">
        <w:rPr>
          <w:rFonts w:ascii="Arial" w:hAnsi="Arial" w:cs="Arial"/>
          <w:sz w:val="22"/>
          <w:u w:val="single"/>
        </w:rPr>
        <w:t>.</w:t>
      </w:r>
      <w:r w:rsidR="0018728D">
        <w:rPr>
          <w:rFonts w:ascii="Arial" w:hAnsi="Arial" w:cs="Arial"/>
          <w:sz w:val="22"/>
        </w:rPr>
        <w:t xml:space="preserve"> IV is not more effective than oral route</w:t>
      </w:r>
    </w:p>
    <w:p w14:paraId="1D1B89D4" w14:textId="77777777" w:rsidR="001D5ED2" w:rsidRDefault="001D5ED2" w:rsidP="001D5ED2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Misuse of stress ulcer prophylaxis</w:t>
      </w:r>
    </w:p>
    <w:p w14:paraId="44835ADD" w14:textId="77777777" w:rsidR="009B5F22" w:rsidRDefault="009B5F22" w:rsidP="009B5F22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Many hospitals use protocols or pathways to minimize misuse</w:t>
      </w:r>
    </w:p>
    <w:p w14:paraId="7E41A9BF" w14:textId="77777777" w:rsidR="009B5F22" w:rsidRPr="001D5ED2" w:rsidRDefault="009B5F22" w:rsidP="001D5ED2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Patients should be re-evaluated for SRMD risk periodically in critical care areas and when transitioning</w:t>
      </w:r>
    </w:p>
    <w:p w14:paraId="3819FFF2" w14:textId="77777777" w:rsidR="001D5ED2" w:rsidRDefault="001D5ED2" w:rsidP="001D5ED2">
      <w:pPr>
        <w:numPr>
          <w:ilvl w:val="1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Once risk factors are gone, therapy should be discontinued!</w:t>
      </w:r>
    </w:p>
    <w:p w14:paraId="587CAE9F" w14:textId="77777777" w:rsidR="00850E21" w:rsidRPr="001D5ED2" w:rsidRDefault="00850E21" w:rsidP="00714D36">
      <w:pPr>
        <w:spacing w:line="360" w:lineRule="auto"/>
        <w:rPr>
          <w:rFonts w:ascii="Arial" w:hAnsi="Arial" w:cs="Arial"/>
        </w:rPr>
      </w:pPr>
    </w:p>
    <w:p w14:paraId="4243DD15" w14:textId="77777777" w:rsidR="00304AC2" w:rsidRDefault="00304AC2" w:rsidP="00714D36">
      <w:pPr>
        <w:pStyle w:val="Heading2"/>
        <w:spacing w:line="360" w:lineRule="auto"/>
      </w:pPr>
      <w:r>
        <w:t>Pharmacist’s Role</w:t>
      </w:r>
    </w:p>
    <w:p w14:paraId="408547DE" w14:textId="77777777" w:rsidR="00304AC2" w:rsidRDefault="00304AC2" w:rsidP="00714D36">
      <w:pPr>
        <w:numPr>
          <w:ilvl w:val="0"/>
          <w:numId w:val="23"/>
        </w:numPr>
        <w:spacing w:line="360" w:lineRule="auto"/>
        <w:rPr>
          <w:rFonts w:ascii="Arial" w:eastAsia="Arial Unicode MS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No patient-directed therapy with PUD- patient must see</w:t>
      </w:r>
      <w:r w:rsidR="00850E21">
        <w:rPr>
          <w:rFonts w:ascii="Arial" w:hAnsi="Arial" w:cs="Arial"/>
          <w:sz w:val="22"/>
          <w:szCs w:val="32"/>
        </w:rPr>
        <w:t xml:space="preserve"> a</w:t>
      </w:r>
      <w:r>
        <w:rPr>
          <w:rFonts w:ascii="Arial" w:hAnsi="Arial" w:cs="Arial"/>
          <w:sz w:val="22"/>
          <w:szCs w:val="32"/>
        </w:rPr>
        <w:t xml:space="preserve"> physician!</w:t>
      </w:r>
    </w:p>
    <w:p w14:paraId="5422F64D" w14:textId="77777777" w:rsidR="00304AC2" w:rsidRDefault="00304AC2" w:rsidP="00714D36">
      <w:pPr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Encourage compliance with regimens</w:t>
      </w:r>
    </w:p>
    <w:p w14:paraId="5C4FBBF7" w14:textId="77777777" w:rsidR="00304AC2" w:rsidRDefault="00304AC2" w:rsidP="00714D36">
      <w:pPr>
        <w:numPr>
          <w:ilvl w:val="0"/>
          <w:numId w:val="23"/>
        </w:numPr>
        <w:spacing w:line="360" w:lineRule="auto"/>
        <w:rPr>
          <w:rFonts w:ascii="Arial Unicode MS" w:hAnsi="Arial Unicode MS" w:cs="Arial Unicode MS"/>
          <w:vanish/>
        </w:rPr>
      </w:pPr>
      <w:r>
        <w:rPr>
          <w:rFonts w:ascii="Arial" w:hAnsi="Arial" w:cs="Arial"/>
          <w:sz w:val="22"/>
          <w:szCs w:val="32"/>
        </w:rPr>
        <w:t>Hospital pharmacists may be involved in p</w:t>
      </w:r>
      <w:r w:rsidR="00BD5972">
        <w:rPr>
          <w:rFonts w:ascii="Arial" w:hAnsi="Arial" w:cs="Arial"/>
          <w:sz w:val="22"/>
          <w:szCs w:val="32"/>
        </w:rPr>
        <w:t>reventing misuse of SRMD</w:t>
      </w:r>
      <w:r>
        <w:rPr>
          <w:rFonts w:ascii="Arial" w:hAnsi="Arial" w:cs="Arial"/>
          <w:sz w:val="22"/>
          <w:szCs w:val="32"/>
        </w:rPr>
        <w:t xml:space="preserve"> prophylaxis</w:t>
      </w:r>
    </w:p>
    <w:p w14:paraId="79EAE452" w14:textId="77777777" w:rsidR="00304AC2" w:rsidRDefault="00304AC2" w:rsidP="00714D36">
      <w:pPr>
        <w:spacing w:line="360" w:lineRule="auto"/>
        <w:rPr>
          <w:rFonts w:ascii="Arial" w:hAnsi="Arial" w:cs="Arial Unicode MS"/>
        </w:rPr>
      </w:pPr>
    </w:p>
    <w:p w14:paraId="434605B7" w14:textId="77777777" w:rsidR="00304AC2" w:rsidRPr="00850E21" w:rsidRDefault="00304AC2" w:rsidP="00714D36">
      <w:pPr>
        <w:numPr>
          <w:ilvl w:val="0"/>
          <w:numId w:val="23"/>
        </w:numPr>
        <w:spacing w:line="360" w:lineRule="auto"/>
        <w:rPr>
          <w:rFonts w:ascii="Arial" w:hAnsi="Arial" w:cs="Arial Unicode MS"/>
          <w:sz w:val="22"/>
          <w:szCs w:val="22"/>
        </w:rPr>
      </w:pPr>
      <w:r>
        <w:rPr>
          <w:rFonts w:ascii="Arial" w:hAnsi="Arial" w:cs="Arial Unicode MS"/>
          <w:sz w:val="22"/>
          <w:szCs w:val="22"/>
        </w:rPr>
        <w:t>All pharmacists can get involved with recognizing use of PPI or H2-antagonist where no longer indicated</w:t>
      </w:r>
    </w:p>
    <w:sectPr w:rsidR="00304AC2" w:rsidRPr="00850E21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3181981" w14:textId="77777777" w:rsidR="00A70671" w:rsidRDefault="00A70671">
      <w:r>
        <w:separator/>
      </w:r>
    </w:p>
  </w:endnote>
  <w:endnote w:type="continuationSeparator" w:id="0">
    <w:p w14:paraId="291EE3D1" w14:textId="77777777" w:rsidR="00A70671" w:rsidRDefault="00A7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46931" w14:textId="77777777" w:rsidR="00A70671" w:rsidRDefault="00A70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46D57" w14:textId="77777777" w:rsidR="00A70671" w:rsidRDefault="00A706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BC41" w14:textId="77777777" w:rsidR="00A70671" w:rsidRDefault="00A706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0CF2">
      <w:rPr>
        <w:rStyle w:val="PageNumber"/>
        <w:noProof/>
      </w:rPr>
      <w:t>22</w:t>
    </w:r>
    <w:r>
      <w:rPr>
        <w:rStyle w:val="PageNumber"/>
      </w:rPr>
      <w:fldChar w:fldCharType="end"/>
    </w:r>
  </w:p>
  <w:p w14:paraId="0DCECE07" w14:textId="77777777" w:rsidR="00A70671" w:rsidRDefault="00A706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2E88160" w14:textId="77777777" w:rsidR="00A70671" w:rsidRDefault="00A70671">
      <w:r>
        <w:separator/>
      </w:r>
    </w:p>
  </w:footnote>
  <w:footnote w:type="continuationSeparator" w:id="0">
    <w:p w14:paraId="10B35125" w14:textId="77777777" w:rsidR="00A70671" w:rsidRDefault="00A70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2E2284"/>
    <w:multiLevelType w:val="hybridMultilevel"/>
    <w:tmpl w:val="9F609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0C4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88D0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768F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287A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187C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0A3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FA90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A6F57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482055"/>
    <w:multiLevelType w:val="hybridMultilevel"/>
    <w:tmpl w:val="105853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7DE7F84"/>
    <w:multiLevelType w:val="hybridMultilevel"/>
    <w:tmpl w:val="3C969654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085D54"/>
    <w:multiLevelType w:val="hybridMultilevel"/>
    <w:tmpl w:val="4F0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63F13"/>
    <w:multiLevelType w:val="hybridMultilevel"/>
    <w:tmpl w:val="0652CC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FB6BF3"/>
    <w:multiLevelType w:val="hybridMultilevel"/>
    <w:tmpl w:val="4D38A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696A67"/>
    <w:multiLevelType w:val="hybridMultilevel"/>
    <w:tmpl w:val="B1D49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F6089A"/>
    <w:multiLevelType w:val="hybridMultilevel"/>
    <w:tmpl w:val="6F20A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EA2504"/>
    <w:multiLevelType w:val="hybridMultilevel"/>
    <w:tmpl w:val="7744D61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F277A1"/>
    <w:multiLevelType w:val="hybridMultilevel"/>
    <w:tmpl w:val="36302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6F3B16"/>
    <w:multiLevelType w:val="hybridMultilevel"/>
    <w:tmpl w:val="07E8B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9E0A71"/>
    <w:multiLevelType w:val="hybridMultilevel"/>
    <w:tmpl w:val="6B0E6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487187"/>
    <w:multiLevelType w:val="hybridMultilevel"/>
    <w:tmpl w:val="42B6B3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FA76E40"/>
    <w:multiLevelType w:val="hybridMultilevel"/>
    <w:tmpl w:val="5CA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86C91"/>
    <w:multiLevelType w:val="hybridMultilevel"/>
    <w:tmpl w:val="9DD6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2197A"/>
    <w:multiLevelType w:val="hybridMultilevel"/>
    <w:tmpl w:val="F6CC7EF6"/>
    <w:lvl w:ilvl="0" w:tplc="1B2A99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C4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88D0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768F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D287A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187C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0A3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FA90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A6F57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E71661F"/>
    <w:multiLevelType w:val="hybridMultilevel"/>
    <w:tmpl w:val="076AE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FC41DC"/>
    <w:multiLevelType w:val="hybridMultilevel"/>
    <w:tmpl w:val="ABD6ADD2"/>
    <w:lvl w:ilvl="0" w:tplc="9EF6C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5A2638"/>
    <w:multiLevelType w:val="hybridMultilevel"/>
    <w:tmpl w:val="6EFA0F7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35AF4AAB"/>
    <w:multiLevelType w:val="hybridMultilevel"/>
    <w:tmpl w:val="A372DF30"/>
    <w:lvl w:ilvl="0" w:tplc="E45E7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CBE5E">
      <w:start w:val="12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CDE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86F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A8B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03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C99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3257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8FF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295F1F"/>
    <w:multiLevelType w:val="hybridMultilevel"/>
    <w:tmpl w:val="D0BE9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B97018"/>
    <w:multiLevelType w:val="hybridMultilevel"/>
    <w:tmpl w:val="4C8605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C136BF7"/>
    <w:multiLevelType w:val="hybridMultilevel"/>
    <w:tmpl w:val="3EA6D4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EB7859"/>
    <w:multiLevelType w:val="hybridMultilevel"/>
    <w:tmpl w:val="930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4860C3"/>
    <w:multiLevelType w:val="hybridMultilevel"/>
    <w:tmpl w:val="A5240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2A37D9"/>
    <w:multiLevelType w:val="hybridMultilevel"/>
    <w:tmpl w:val="7EA63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984621"/>
    <w:multiLevelType w:val="hybridMultilevel"/>
    <w:tmpl w:val="3F26ECC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A2C2E15"/>
    <w:multiLevelType w:val="hybridMultilevel"/>
    <w:tmpl w:val="3EA6D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0C77B3"/>
    <w:multiLevelType w:val="hybridMultilevel"/>
    <w:tmpl w:val="DF72C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C346F1"/>
    <w:multiLevelType w:val="hybridMultilevel"/>
    <w:tmpl w:val="08364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4E6611"/>
    <w:multiLevelType w:val="hybridMultilevel"/>
    <w:tmpl w:val="E5522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B069CD"/>
    <w:multiLevelType w:val="hybridMultilevel"/>
    <w:tmpl w:val="4D288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1346B6"/>
    <w:multiLevelType w:val="hybridMultilevel"/>
    <w:tmpl w:val="EC702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DF1D61"/>
    <w:multiLevelType w:val="hybridMultilevel"/>
    <w:tmpl w:val="53707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284EAC"/>
    <w:multiLevelType w:val="hybridMultilevel"/>
    <w:tmpl w:val="C8DAFF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FA615C"/>
    <w:multiLevelType w:val="hybridMultilevel"/>
    <w:tmpl w:val="B1EC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E055DF"/>
    <w:multiLevelType w:val="hybridMultilevel"/>
    <w:tmpl w:val="9974A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E75D9F"/>
    <w:multiLevelType w:val="hybridMultilevel"/>
    <w:tmpl w:val="35D0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DD7726"/>
    <w:multiLevelType w:val="hybridMultilevel"/>
    <w:tmpl w:val="CA9448BC"/>
    <w:lvl w:ilvl="0" w:tplc="89C851C8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FB46A0"/>
    <w:multiLevelType w:val="hybridMultilevel"/>
    <w:tmpl w:val="9A4CF9B4"/>
    <w:lvl w:ilvl="0" w:tplc="333AC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6"/>
  </w:num>
  <w:num w:numId="4">
    <w:abstractNumId w:val="11"/>
  </w:num>
  <w:num w:numId="5">
    <w:abstractNumId w:val="10"/>
  </w:num>
  <w:num w:numId="6">
    <w:abstractNumId w:val="28"/>
  </w:num>
  <w:num w:numId="7">
    <w:abstractNumId w:val="31"/>
  </w:num>
  <w:num w:numId="8">
    <w:abstractNumId w:val="37"/>
  </w:num>
  <w:num w:numId="9">
    <w:abstractNumId w:val="22"/>
  </w:num>
  <w:num w:numId="10">
    <w:abstractNumId w:val="27"/>
  </w:num>
  <w:num w:numId="11">
    <w:abstractNumId w:val="12"/>
  </w:num>
  <w:num w:numId="12">
    <w:abstractNumId w:val="35"/>
  </w:num>
  <w:num w:numId="13">
    <w:abstractNumId w:val="25"/>
  </w:num>
  <w:num w:numId="14">
    <w:abstractNumId w:val="7"/>
  </w:num>
  <w:num w:numId="15">
    <w:abstractNumId w:val="30"/>
  </w:num>
  <w:num w:numId="16">
    <w:abstractNumId w:val="16"/>
  </w:num>
  <w:num w:numId="17">
    <w:abstractNumId w:val="9"/>
  </w:num>
  <w:num w:numId="18">
    <w:abstractNumId w:val="24"/>
  </w:num>
  <w:num w:numId="19">
    <w:abstractNumId w:val="5"/>
  </w:num>
  <w:num w:numId="20">
    <w:abstractNumId w:val="1"/>
  </w:num>
  <w:num w:numId="21">
    <w:abstractNumId w:val="18"/>
  </w:num>
  <w:num w:numId="22">
    <w:abstractNumId w:val="32"/>
  </w:num>
  <w:num w:numId="23">
    <w:abstractNumId w:val="6"/>
  </w:num>
  <w:num w:numId="24">
    <w:abstractNumId w:val="23"/>
  </w:num>
  <w:num w:numId="25">
    <w:abstractNumId w:val="39"/>
  </w:num>
  <w:num w:numId="26">
    <w:abstractNumId w:val="17"/>
  </w:num>
  <w:num w:numId="27">
    <w:abstractNumId w:val="13"/>
  </w:num>
  <w:num w:numId="28">
    <w:abstractNumId w:val="3"/>
  </w:num>
  <w:num w:numId="29">
    <w:abstractNumId w:val="19"/>
  </w:num>
  <w:num w:numId="30">
    <w:abstractNumId w:val="29"/>
  </w:num>
  <w:num w:numId="31">
    <w:abstractNumId w:val="38"/>
  </w:num>
  <w:num w:numId="32">
    <w:abstractNumId w:val="33"/>
  </w:num>
  <w:num w:numId="33">
    <w:abstractNumId w:val="4"/>
  </w:num>
  <w:num w:numId="34">
    <w:abstractNumId w:val="20"/>
  </w:num>
  <w:num w:numId="35">
    <w:abstractNumId w:val="34"/>
  </w:num>
  <w:num w:numId="36">
    <w:abstractNumId w:val="15"/>
  </w:num>
  <w:num w:numId="37">
    <w:abstractNumId w:val="0"/>
  </w:num>
  <w:num w:numId="38">
    <w:abstractNumId w:val="26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32"/>
    <w:rsid w:val="00003F13"/>
    <w:rsid w:val="000142B3"/>
    <w:rsid w:val="000416FA"/>
    <w:rsid w:val="00062A60"/>
    <w:rsid w:val="00083462"/>
    <w:rsid w:val="000B0875"/>
    <w:rsid w:val="000F2E27"/>
    <w:rsid w:val="00101867"/>
    <w:rsid w:val="0011216A"/>
    <w:rsid w:val="00112B6F"/>
    <w:rsid w:val="00131FDB"/>
    <w:rsid w:val="00134C99"/>
    <w:rsid w:val="001601B9"/>
    <w:rsid w:val="001770A2"/>
    <w:rsid w:val="0018728D"/>
    <w:rsid w:val="001A28CE"/>
    <w:rsid w:val="001D1308"/>
    <w:rsid w:val="001D4F13"/>
    <w:rsid w:val="001D5ED2"/>
    <w:rsid w:val="00210EAD"/>
    <w:rsid w:val="00212A28"/>
    <w:rsid w:val="00226FCA"/>
    <w:rsid w:val="00242181"/>
    <w:rsid w:val="00264494"/>
    <w:rsid w:val="00265ED6"/>
    <w:rsid w:val="0027336F"/>
    <w:rsid w:val="0029020E"/>
    <w:rsid w:val="002A6B88"/>
    <w:rsid w:val="003000C8"/>
    <w:rsid w:val="00304AC2"/>
    <w:rsid w:val="0032399F"/>
    <w:rsid w:val="003314C4"/>
    <w:rsid w:val="00381A05"/>
    <w:rsid w:val="003B5B6B"/>
    <w:rsid w:val="003D547D"/>
    <w:rsid w:val="004066A3"/>
    <w:rsid w:val="00460DC3"/>
    <w:rsid w:val="00473A4D"/>
    <w:rsid w:val="00485C82"/>
    <w:rsid w:val="00491BF3"/>
    <w:rsid w:val="004E7DF3"/>
    <w:rsid w:val="0050385F"/>
    <w:rsid w:val="00527321"/>
    <w:rsid w:val="00527E08"/>
    <w:rsid w:val="00533983"/>
    <w:rsid w:val="00547B50"/>
    <w:rsid w:val="00555E1F"/>
    <w:rsid w:val="005866F7"/>
    <w:rsid w:val="00591A46"/>
    <w:rsid w:val="00595EF8"/>
    <w:rsid w:val="005A4D85"/>
    <w:rsid w:val="005F5F41"/>
    <w:rsid w:val="00600671"/>
    <w:rsid w:val="006635BA"/>
    <w:rsid w:val="00676F07"/>
    <w:rsid w:val="006A6B79"/>
    <w:rsid w:val="006C371E"/>
    <w:rsid w:val="006E01C4"/>
    <w:rsid w:val="00714D36"/>
    <w:rsid w:val="007172B3"/>
    <w:rsid w:val="00735642"/>
    <w:rsid w:val="0073736F"/>
    <w:rsid w:val="007B0B1C"/>
    <w:rsid w:val="007D3B3B"/>
    <w:rsid w:val="007E15C9"/>
    <w:rsid w:val="00810F7F"/>
    <w:rsid w:val="00825FB7"/>
    <w:rsid w:val="00850E21"/>
    <w:rsid w:val="00856940"/>
    <w:rsid w:val="00895CCC"/>
    <w:rsid w:val="008A63D8"/>
    <w:rsid w:val="008B0480"/>
    <w:rsid w:val="008B4539"/>
    <w:rsid w:val="008B7497"/>
    <w:rsid w:val="008C5B1F"/>
    <w:rsid w:val="00911BC2"/>
    <w:rsid w:val="00915935"/>
    <w:rsid w:val="00926F73"/>
    <w:rsid w:val="00951BBA"/>
    <w:rsid w:val="0099774F"/>
    <w:rsid w:val="009A7732"/>
    <w:rsid w:val="009B5F22"/>
    <w:rsid w:val="009D3D4F"/>
    <w:rsid w:val="00A1209E"/>
    <w:rsid w:val="00A12EF8"/>
    <w:rsid w:val="00A1660B"/>
    <w:rsid w:val="00A310F1"/>
    <w:rsid w:val="00A70671"/>
    <w:rsid w:val="00A9120C"/>
    <w:rsid w:val="00AC7C4F"/>
    <w:rsid w:val="00AF45F9"/>
    <w:rsid w:val="00AF65DB"/>
    <w:rsid w:val="00AF7FD2"/>
    <w:rsid w:val="00B74C7F"/>
    <w:rsid w:val="00BD5972"/>
    <w:rsid w:val="00BE4791"/>
    <w:rsid w:val="00C642F2"/>
    <w:rsid w:val="00C64EF0"/>
    <w:rsid w:val="00CB6771"/>
    <w:rsid w:val="00CC55A2"/>
    <w:rsid w:val="00D21A22"/>
    <w:rsid w:val="00D27A76"/>
    <w:rsid w:val="00D631B6"/>
    <w:rsid w:val="00D85A59"/>
    <w:rsid w:val="00DA68BE"/>
    <w:rsid w:val="00E6005E"/>
    <w:rsid w:val="00E77225"/>
    <w:rsid w:val="00E957F0"/>
    <w:rsid w:val="00EC7977"/>
    <w:rsid w:val="00ED0CF2"/>
    <w:rsid w:val="00EE0569"/>
    <w:rsid w:val="00F07EAB"/>
    <w:rsid w:val="00F145B9"/>
    <w:rsid w:val="00F6329F"/>
    <w:rsid w:val="00F81376"/>
    <w:rsid w:val="00FB7FCF"/>
    <w:rsid w:val="00FC6E09"/>
    <w:rsid w:val="00FD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7AE2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6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abletitle">
    <w:name w:val="tabletitl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12">
    <w:name w:val="font12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ntentbody">
    <w:name w:val="contentbod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Arial" w:hAnsi="Arial" w:cs="Arial"/>
      <w:sz w:val="22"/>
    </w:rPr>
  </w:style>
  <w:style w:type="paragraph" w:styleId="BodyText2">
    <w:name w:val="Body Text 2"/>
    <w:basedOn w:val="Normal"/>
    <w:semiHidden/>
    <w:rPr>
      <w:rFonts w:ascii="Arial" w:hAnsi="Arial" w:cs="Arial"/>
      <w:color w:val="FFFFFF"/>
      <w:sz w:val="32"/>
      <w:szCs w:val="32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Indent">
    <w:name w:val="Body Text Indent"/>
    <w:basedOn w:val="Normal"/>
    <w:semiHidden/>
    <w:pPr>
      <w:ind w:firstLine="72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850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50E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6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sz w:val="28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abletitle">
    <w:name w:val="tabletitl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12">
    <w:name w:val="font12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ntentbody">
    <w:name w:val="contentbod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Arial" w:hAnsi="Arial" w:cs="Arial"/>
      <w:sz w:val="22"/>
    </w:rPr>
  </w:style>
  <w:style w:type="paragraph" w:styleId="BodyText2">
    <w:name w:val="Body Text 2"/>
    <w:basedOn w:val="Normal"/>
    <w:semiHidden/>
    <w:rPr>
      <w:rFonts w:ascii="Arial" w:hAnsi="Arial" w:cs="Arial"/>
      <w:color w:val="FFFFFF"/>
      <w:sz w:val="32"/>
      <w:szCs w:val="32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Indent">
    <w:name w:val="Body Text Indent"/>
    <w:basedOn w:val="Normal"/>
    <w:semiHidden/>
    <w:pPr>
      <w:ind w:firstLine="72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850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50E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B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microsoft.com/office/2007/relationships/diagramDrawing" Target="diagrams/drawing2.xml"/><Relationship Id="rId21" Type="http://schemas.openxmlformats.org/officeDocument/2006/relationships/image" Target="media/image3.png"/><Relationship Id="rId22" Type="http://schemas.openxmlformats.org/officeDocument/2006/relationships/image" Target="media/image4.gif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litha.pulvino@temple.edu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DC05CF-8947-4D2F-AE57-BD3B16A63825}" type="doc">
      <dgm:prSet loTypeId="urn:microsoft.com/office/officeart/2005/8/layout/balance1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C8F4734-CA87-4A4F-9E6A-956EE1BBA962}">
      <dgm:prSet phldrT="[Text]"/>
      <dgm:spPr/>
      <dgm:t>
        <a:bodyPr/>
        <a:lstStyle/>
        <a:p>
          <a:r>
            <a:rPr lang="en-US"/>
            <a:t>Defensive Mechanisms</a:t>
          </a:r>
        </a:p>
      </dgm:t>
    </dgm:pt>
    <dgm:pt modelId="{D02F504B-6088-4407-A074-EDBCDD3BD868}" type="parTrans" cxnId="{8D933BB3-636B-4C50-B15A-9F804EFCA1E2}">
      <dgm:prSet/>
      <dgm:spPr/>
      <dgm:t>
        <a:bodyPr/>
        <a:lstStyle/>
        <a:p>
          <a:endParaRPr lang="en-US"/>
        </a:p>
      </dgm:t>
    </dgm:pt>
    <dgm:pt modelId="{B5CB9A9E-8C41-4306-9169-8DCFD1099B69}" type="sibTrans" cxnId="{8D933BB3-636B-4C50-B15A-9F804EFCA1E2}">
      <dgm:prSet/>
      <dgm:spPr/>
      <dgm:t>
        <a:bodyPr/>
        <a:lstStyle/>
        <a:p>
          <a:endParaRPr lang="en-US"/>
        </a:p>
      </dgm:t>
    </dgm:pt>
    <dgm:pt modelId="{7E87F80E-2D2D-43A0-9035-7412BF04012C}">
      <dgm:prSet phldrT="[Text]"/>
      <dgm:spPr>
        <a:solidFill>
          <a:schemeClr val="accent5">
            <a:hueOff val="-9933876"/>
            <a:satOff val="39811"/>
            <a:lumOff val="8628"/>
            <a:alpha val="64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Gastroduodenal mucosal defense</a:t>
          </a:r>
        </a:p>
      </dgm:t>
    </dgm:pt>
    <dgm:pt modelId="{A4BCAEF8-E3D4-4F52-8180-EAD3B8F1B0E3}" type="parTrans" cxnId="{80C3C915-4DBD-4027-B8B2-86DE1F1B80BD}">
      <dgm:prSet/>
      <dgm:spPr/>
      <dgm:t>
        <a:bodyPr/>
        <a:lstStyle/>
        <a:p>
          <a:endParaRPr lang="en-US"/>
        </a:p>
      </dgm:t>
    </dgm:pt>
    <dgm:pt modelId="{FAD42148-C313-46B7-B88E-411937EB2593}" type="sibTrans" cxnId="{80C3C915-4DBD-4027-B8B2-86DE1F1B80BD}">
      <dgm:prSet/>
      <dgm:spPr/>
      <dgm:t>
        <a:bodyPr/>
        <a:lstStyle/>
        <a:p>
          <a:endParaRPr lang="en-US"/>
        </a:p>
      </dgm:t>
    </dgm:pt>
    <dgm:pt modelId="{07D7A8C7-924E-453B-B9AF-6346CC8515F2}">
      <dgm:prSet phldrT="[Text]"/>
      <dgm:spPr/>
      <dgm:t>
        <a:bodyPr/>
        <a:lstStyle/>
        <a:p>
          <a:r>
            <a:rPr lang="en-US"/>
            <a:t>Aggressive Factors</a:t>
          </a:r>
        </a:p>
      </dgm:t>
    </dgm:pt>
    <dgm:pt modelId="{9B3A5406-EDED-4349-849A-355EADDDEBF9}" type="parTrans" cxnId="{69198F58-25D0-45C8-8EC1-28B91D59552E}">
      <dgm:prSet/>
      <dgm:spPr/>
      <dgm:t>
        <a:bodyPr/>
        <a:lstStyle/>
        <a:p>
          <a:endParaRPr lang="en-US"/>
        </a:p>
      </dgm:t>
    </dgm:pt>
    <dgm:pt modelId="{20343675-F37A-4461-9F33-2864DB67ECA2}" type="sibTrans" cxnId="{69198F58-25D0-45C8-8EC1-28B91D59552E}">
      <dgm:prSet/>
      <dgm:spPr/>
      <dgm:t>
        <a:bodyPr/>
        <a:lstStyle/>
        <a:p>
          <a:endParaRPr lang="en-US"/>
        </a:p>
      </dgm:t>
    </dgm:pt>
    <dgm:pt modelId="{469CB774-9C7A-4CFE-9B7D-90B2DCA196D5}">
      <dgm:prSet phldrT="[Text]"/>
      <dgm:spPr>
        <a:solidFill>
          <a:schemeClr val="accent5">
            <a:hueOff val="-4966938"/>
            <a:satOff val="19906"/>
            <a:lumOff val="4314"/>
            <a:alpha val="63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Aggravating factors: NSAIDs or H. Pylori</a:t>
          </a:r>
        </a:p>
      </dgm:t>
    </dgm:pt>
    <dgm:pt modelId="{66969470-E965-41C9-99C6-F4F79F91D366}" type="parTrans" cxnId="{38CED81F-9443-401F-8AAB-B32F498D731D}">
      <dgm:prSet/>
      <dgm:spPr/>
      <dgm:t>
        <a:bodyPr/>
        <a:lstStyle/>
        <a:p>
          <a:endParaRPr lang="en-US"/>
        </a:p>
      </dgm:t>
    </dgm:pt>
    <dgm:pt modelId="{4A2A4EB5-D509-4B12-82FC-DFE4942AD199}" type="sibTrans" cxnId="{38CED81F-9443-401F-8AAB-B32F498D731D}">
      <dgm:prSet/>
      <dgm:spPr/>
      <dgm:t>
        <a:bodyPr/>
        <a:lstStyle/>
        <a:p>
          <a:endParaRPr lang="en-US"/>
        </a:p>
      </dgm:t>
    </dgm:pt>
    <dgm:pt modelId="{F6DF53D4-C934-473B-8826-62940C42830C}">
      <dgm:prSet phldrT="[Text]"/>
      <dgm:spPr>
        <a:solidFill>
          <a:schemeClr val="accent5">
            <a:hueOff val="0"/>
            <a:satOff val="0"/>
            <a:lumOff val="0"/>
            <a:alpha val="58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Acid +Pepsin</a:t>
          </a:r>
        </a:p>
      </dgm:t>
    </dgm:pt>
    <dgm:pt modelId="{899003F5-8AA1-40E5-8366-151E41C97FE9}" type="parTrans" cxnId="{F4D03832-E99C-4123-9F7A-B5D542E3ACA4}">
      <dgm:prSet/>
      <dgm:spPr/>
      <dgm:t>
        <a:bodyPr/>
        <a:lstStyle/>
        <a:p>
          <a:endParaRPr lang="en-US"/>
        </a:p>
      </dgm:t>
    </dgm:pt>
    <dgm:pt modelId="{DF8B0CAE-112E-4EFC-85F9-910CD15CA57E}" type="sibTrans" cxnId="{F4D03832-E99C-4123-9F7A-B5D542E3ACA4}">
      <dgm:prSet/>
      <dgm:spPr/>
      <dgm:t>
        <a:bodyPr/>
        <a:lstStyle/>
        <a:p>
          <a:endParaRPr lang="en-US"/>
        </a:p>
      </dgm:t>
    </dgm:pt>
    <dgm:pt modelId="{74391561-C375-4EFB-A022-7A7C38AEEE49}" type="pres">
      <dgm:prSet presAssocID="{C1DC05CF-8947-4D2F-AE57-BD3B16A63825}" presName="outerComposite" presStyleCnt="0">
        <dgm:presLayoutVars>
          <dgm:chMax val="2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A7FD71E-5A7F-4C06-91C1-988A2C7D4387}" type="pres">
      <dgm:prSet presAssocID="{C1DC05CF-8947-4D2F-AE57-BD3B16A63825}" presName="dummyMaxCanvas" presStyleCnt="0"/>
      <dgm:spPr/>
    </dgm:pt>
    <dgm:pt modelId="{E20286AB-20BB-4AB4-9BBB-A23DB3567981}" type="pres">
      <dgm:prSet presAssocID="{C1DC05CF-8947-4D2F-AE57-BD3B16A63825}" presName="parentComposite" presStyleCnt="0"/>
      <dgm:spPr/>
    </dgm:pt>
    <dgm:pt modelId="{ABE3FF83-B07E-4513-A100-29DC41E9DF9E}" type="pres">
      <dgm:prSet presAssocID="{C1DC05CF-8947-4D2F-AE57-BD3B16A63825}" presName="parent1" presStyleLbl="alignAccFollowNode1" presStyleIdx="0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22F6D247-B420-43ED-A4A3-AA451F7C66AD}" type="pres">
      <dgm:prSet presAssocID="{C1DC05CF-8947-4D2F-AE57-BD3B16A63825}" presName="parent2" presStyleLbl="alignAccFollowNode1" presStyleIdx="1" presStyleCnt="4">
        <dgm:presLayoutVars>
          <dgm:chMax val="4"/>
        </dgm:presLayoutVars>
      </dgm:prSet>
      <dgm:spPr/>
      <dgm:t>
        <a:bodyPr/>
        <a:lstStyle/>
        <a:p>
          <a:endParaRPr lang="en-US"/>
        </a:p>
      </dgm:t>
    </dgm:pt>
    <dgm:pt modelId="{A35F1669-4929-4EA8-AEA3-F046D9930112}" type="pres">
      <dgm:prSet presAssocID="{C1DC05CF-8947-4D2F-AE57-BD3B16A63825}" presName="childrenComposite" presStyleCnt="0"/>
      <dgm:spPr/>
    </dgm:pt>
    <dgm:pt modelId="{A064A954-E655-4821-AFE5-ED5FE8A3AB28}" type="pres">
      <dgm:prSet presAssocID="{C1DC05CF-8947-4D2F-AE57-BD3B16A63825}" presName="dummyMaxCanvas_ChildArea" presStyleCnt="0"/>
      <dgm:spPr/>
    </dgm:pt>
    <dgm:pt modelId="{5557F446-A384-42FB-85AA-4A001BAA933E}" type="pres">
      <dgm:prSet presAssocID="{C1DC05CF-8947-4D2F-AE57-BD3B16A63825}" presName="fulcrum" presStyleLbl="alignAccFollowNode1" presStyleIdx="2" presStyleCnt="4"/>
      <dgm:spPr>
        <a:solidFill>
          <a:srgbClr val="7030A0">
            <a:alpha val="90000"/>
          </a:srgbClr>
        </a:solidFill>
      </dgm:spPr>
    </dgm:pt>
    <dgm:pt modelId="{6655A8FA-23F7-4128-B456-800A58655514}" type="pres">
      <dgm:prSet presAssocID="{C1DC05CF-8947-4D2F-AE57-BD3B16A63825}" presName="balance_12" presStyleLbl="alignAccFollowNode1" presStyleIdx="3" presStyleCnt="4">
        <dgm:presLayoutVars>
          <dgm:bulletEnabled val="1"/>
        </dgm:presLayoutVars>
      </dgm:prSet>
      <dgm:spPr>
        <a:solidFill>
          <a:schemeClr val="accent3">
            <a:lumMod val="75000"/>
            <a:alpha val="87000"/>
          </a:schemeClr>
        </a:solidFill>
      </dgm:spPr>
    </dgm:pt>
    <dgm:pt modelId="{859245CB-5008-4B5A-8111-7F4E01A58A92}" type="pres">
      <dgm:prSet presAssocID="{C1DC05CF-8947-4D2F-AE57-BD3B16A63825}" presName="right_12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E146B2-5C9D-4EA1-A066-B300D40931E9}" type="pres">
      <dgm:prSet presAssocID="{C1DC05CF-8947-4D2F-AE57-BD3B16A63825}" presName="right_12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DA0EE6-CAD6-4914-9A13-0F7DF01209AE}" type="pres">
      <dgm:prSet presAssocID="{C1DC05CF-8947-4D2F-AE57-BD3B16A63825}" presName="left_12_1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9198F58-25D0-45C8-8EC1-28B91D59552E}" srcId="{C1DC05CF-8947-4D2F-AE57-BD3B16A63825}" destId="{07D7A8C7-924E-453B-B9AF-6346CC8515F2}" srcOrd="1" destOrd="0" parTransId="{9B3A5406-EDED-4349-849A-355EADDDEBF9}" sibTransId="{20343675-F37A-4461-9F33-2864DB67ECA2}"/>
    <dgm:cxn modelId="{AF6CB560-A168-4E52-82D7-1B7D9D140C82}" type="presOf" srcId="{C1DC05CF-8947-4D2F-AE57-BD3B16A63825}" destId="{74391561-C375-4EFB-A022-7A7C38AEEE49}" srcOrd="0" destOrd="0" presId="urn:microsoft.com/office/officeart/2005/8/layout/balance1"/>
    <dgm:cxn modelId="{F0C12042-865F-4DB5-9760-FEA91536B12D}" type="presOf" srcId="{07D7A8C7-924E-453B-B9AF-6346CC8515F2}" destId="{22F6D247-B420-43ED-A4A3-AA451F7C66AD}" srcOrd="0" destOrd="0" presId="urn:microsoft.com/office/officeart/2005/8/layout/balance1"/>
    <dgm:cxn modelId="{38CED81F-9443-401F-8AAB-B32F498D731D}" srcId="{07D7A8C7-924E-453B-B9AF-6346CC8515F2}" destId="{469CB774-9C7A-4CFE-9B7D-90B2DCA196D5}" srcOrd="1" destOrd="0" parTransId="{66969470-E965-41C9-99C6-F4F79F91D366}" sibTransId="{4A2A4EB5-D509-4B12-82FC-DFE4942AD199}"/>
    <dgm:cxn modelId="{36BF82CC-3046-4A77-98F5-D2095EE0C50A}" type="presOf" srcId="{1C8F4734-CA87-4A4F-9E6A-956EE1BBA962}" destId="{ABE3FF83-B07E-4513-A100-29DC41E9DF9E}" srcOrd="0" destOrd="0" presId="urn:microsoft.com/office/officeart/2005/8/layout/balance1"/>
    <dgm:cxn modelId="{80C3C915-4DBD-4027-B8B2-86DE1F1B80BD}" srcId="{1C8F4734-CA87-4A4F-9E6A-956EE1BBA962}" destId="{7E87F80E-2D2D-43A0-9035-7412BF04012C}" srcOrd="0" destOrd="0" parTransId="{A4BCAEF8-E3D4-4F52-8180-EAD3B8F1B0E3}" sibTransId="{FAD42148-C313-46B7-B88E-411937EB2593}"/>
    <dgm:cxn modelId="{F4D03832-E99C-4123-9F7A-B5D542E3ACA4}" srcId="{07D7A8C7-924E-453B-B9AF-6346CC8515F2}" destId="{F6DF53D4-C934-473B-8826-62940C42830C}" srcOrd="0" destOrd="0" parTransId="{899003F5-8AA1-40E5-8366-151E41C97FE9}" sibTransId="{DF8B0CAE-112E-4EFC-85F9-910CD15CA57E}"/>
    <dgm:cxn modelId="{38381D0E-57D0-415B-8830-B3E7CFB59797}" type="presOf" srcId="{F6DF53D4-C934-473B-8826-62940C42830C}" destId="{859245CB-5008-4B5A-8111-7F4E01A58A92}" srcOrd="0" destOrd="0" presId="urn:microsoft.com/office/officeart/2005/8/layout/balance1"/>
    <dgm:cxn modelId="{997A9F63-9E61-4699-97CB-9E6F909A452D}" type="presOf" srcId="{469CB774-9C7A-4CFE-9B7D-90B2DCA196D5}" destId="{51E146B2-5C9D-4EA1-A066-B300D40931E9}" srcOrd="0" destOrd="0" presId="urn:microsoft.com/office/officeart/2005/8/layout/balance1"/>
    <dgm:cxn modelId="{A8D4DE1D-93A2-45BD-9A38-62D8E5451784}" type="presOf" srcId="{7E87F80E-2D2D-43A0-9035-7412BF04012C}" destId="{1EDA0EE6-CAD6-4914-9A13-0F7DF01209AE}" srcOrd="0" destOrd="0" presId="urn:microsoft.com/office/officeart/2005/8/layout/balance1"/>
    <dgm:cxn modelId="{8D933BB3-636B-4C50-B15A-9F804EFCA1E2}" srcId="{C1DC05CF-8947-4D2F-AE57-BD3B16A63825}" destId="{1C8F4734-CA87-4A4F-9E6A-956EE1BBA962}" srcOrd="0" destOrd="0" parTransId="{D02F504B-6088-4407-A074-EDBCDD3BD868}" sibTransId="{B5CB9A9E-8C41-4306-9169-8DCFD1099B69}"/>
    <dgm:cxn modelId="{7DA6E73E-2D4B-43A5-AC30-C7ABD152C4E8}" type="presParOf" srcId="{74391561-C375-4EFB-A022-7A7C38AEEE49}" destId="{CA7FD71E-5A7F-4C06-91C1-988A2C7D4387}" srcOrd="0" destOrd="0" presId="urn:microsoft.com/office/officeart/2005/8/layout/balance1"/>
    <dgm:cxn modelId="{1DA6CC04-CE84-4124-B952-52ED536E5B9D}" type="presParOf" srcId="{74391561-C375-4EFB-A022-7A7C38AEEE49}" destId="{E20286AB-20BB-4AB4-9BBB-A23DB3567981}" srcOrd="1" destOrd="0" presId="urn:microsoft.com/office/officeart/2005/8/layout/balance1"/>
    <dgm:cxn modelId="{72075AB8-1A43-4EE6-ADCC-143B71F9EF54}" type="presParOf" srcId="{E20286AB-20BB-4AB4-9BBB-A23DB3567981}" destId="{ABE3FF83-B07E-4513-A100-29DC41E9DF9E}" srcOrd="0" destOrd="0" presId="urn:microsoft.com/office/officeart/2005/8/layout/balance1"/>
    <dgm:cxn modelId="{CE9F1CEE-E8DB-4AF2-8E2F-399DD23B0F1B}" type="presParOf" srcId="{E20286AB-20BB-4AB4-9BBB-A23DB3567981}" destId="{22F6D247-B420-43ED-A4A3-AA451F7C66AD}" srcOrd="1" destOrd="0" presId="urn:microsoft.com/office/officeart/2005/8/layout/balance1"/>
    <dgm:cxn modelId="{BF9611F8-757B-42B8-BC18-9528EB1FD972}" type="presParOf" srcId="{74391561-C375-4EFB-A022-7A7C38AEEE49}" destId="{A35F1669-4929-4EA8-AEA3-F046D9930112}" srcOrd="2" destOrd="0" presId="urn:microsoft.com/office/officeart/2005/8/layout/balance1"/>
    <dgm:cxn modelId="{ABCA0F1A-2B9C-4A46-876D-D03D55C0A155}" type="presParOf" srcId="{A35F1669-4929-4EA8-AEA3-F046D9930112}" destId="{A064A954-E655-4821-AFE5-ED5FE8A3AB28}" srcOrd="0" destOrd="0" presId="urn:microsoft.com/office/officeart/2005/8/layout/balance1"/>
    <dgm:cxn modelId="{59E968DA-9FA0-45AF-BC7D-F697285A77F2}" type="presParOf" srcId="{A35F1669-4929-4EA8-AEA3-F046D9930112}" destId="{5557F446-A384-42FB-85AA-4A001BAA933E}" srcOrd="1" destOrd="0" presId="urn:microsoft.com/office/officeart/2005/8/layout/balance1"/>
    <dgm:cxn modelId="{138B359B-07D6-4765-AAB1-70CE7BD8D322}" type="presParOf" srcId="{A35F1669-4929-4EA8-AEA3-F046D9930112}" destId="{6655A8FA-23F7-4128-B456-800A58655514}" srcOrd="2" destOrd="0" presId="urn:microsoft.com/office/officeart/2005/8/layout/balance1"/>
    <dgm:cxn modelId="{3EAB9826-7E0F-40C9-8D97-658C32B4512D}" type="presParOf" srcId="{A35F1669-4929-4EA8-AEA3-F046D9930112}" destId="{859245CB-5008-4B5A-8111-7F4E01A58A92}" srcOrd="3" destOrd="0" presId="urn:microsoft.com/office/officeart/2005/8/layout/balance1"/>
    <dgm:cxn modelId="{ECBC6731-5EF8-42A5-9AC6-C36DF734F1FF}" type="presParOf" srcId="{A35F1669-4929-4EA8-AEA3-F046D9930112}" destId="{51E146B2-5C9D-4EA1-A066-B300D40931E9}" srcOrd="4" destOrd="0" presId="urn:microsoft.com/office/officeart/2005/8/layout/balance1"/>
    <dgm:cxn modelId="{DE05CE88-3057-495A-9F85-D75677FAADB0}" type="presParOf" srcId="{A35F1669-4929-4EA8-AEA3-F046D9930112}" destId="{1EDA0EE6-CAD6-4914-9A13-0F7DF01209AE}" srcOrd="5" destOrd="0" presId="urn:microsoft.com/office/officeart/2005/8/layout/balance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50926E-E14F-4BE1-BC27-8C2C5185E602}" type="doc">
      <dgm:prSet loTypeId="urn:microsoft.com/office/officeart/2005/8/layout/hChevron3" loCatId="process" qsTypeId="urn:microsoft.com/office/officeart/2005/8/quickstyle/simple1" qsCatId="simple" csTypeId="urn:microsoft.com/office/officeart/2005/8/colors/colorful3" csCatId="colorful" phldr="1"/>
      <dgm:spPr/>
    </dgm:pt>
    <dgm:pt modelId="{CE72FF4E-0978-4A0E-804D-EA8F8C7F6698}">
      <dgm:prSet phldrT="[Text]"/>
      <dgm:spPr>
        <a:solidFill>
          <a:schemeClr val="accent3">
            <a:hueOff val="0"/>
            <a:satOff val="0"/>
            <a:lumOff val="0"/>
            <a:alpha val="50000"/>
          </a:schemeClr>
        </a:soli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Ketorolac, Piroxicam</a:t>
          </a:r>
        </a:p>
      </dgm:t>
    </dgm:pt>
    <dgm:pt modelId="{488BE118-D05E-479C-919E-24F9ECCD1C60}" type="parTrans" cxnId="{A6012E13-7634-42CD-A1D9-DBC4B3FA1CD8}">
      <dgm:prSet/>
      <dgm:spPr/>
      <dgm:t>
        <a:bodyPr/>
        <a:lstStyle/>
        <a:p>
          <a:endParaRPr lang="en-US"/>
        </a:p>
      </dgm:t>
    </dgm:pt>
    <dgm:pt modelId="{5AC7F0FD-9E24-481B-961E-C775D40133AB}" type="sibTrans" cxnId="{A6012E13-7634-42CD-A1D9-DBC4B3FA1CD8}">
      <dgm:prSet/>
      <dgm:spPr/>
      <dgm:t>
        <a:bodyPr/>
        <a:lstStyle/>
        <a:p>
          <a:endParaRPr lang="en-US"/>
        </a:p>
      </dgm:t>
    </dgm:pt>
    <dgm:pt modelId="{6D196D84-1095-4788-85C3-8AA8B79DD14F}">
      <dgm:prSet phldrT="[Text]"/>
      <dgm:spPr>
        <a:solidFill>
          <a:schemeClr val="accent3">
            <a:hueOff val="5625132"/>
            <a:satOff val="-8440"/>
            <a:lumOff val="-1373"/>
            <a:alpha val="36000"/>
          </a:schemeClr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Naproxen, Indomethacin, Diclofenac</a:t>
          </a:r>
        </a:p>
      </dgm:t>
    </dgm:pt>
    <dgm:pt modelId="{4007307C-1FC3-4A59-9CC6-0EF43EB822D6}" type="parTrans" cxnId="{FB20D8CC-C81F-4E2F-8442-2F42BB5F586B}">
      <dgm:prSet/>
      <dgm:spPr/>
      <dgm:t>
        <a:bodyPr/>
        <a:lstStyle/>
        <a:p>
          <a:endParaRPr lang="en-US"/>
        </a:p>
      </dgm:t>
    </dgm:pt>
    <dgm:pt modelId="{934B7CC3-00A8-41D3-B2E7-1DD00D12EF19}" type="sibTrans" cxnId="{FB20D8CC-C81F-4E2F-8442-2F42BB5F586B}">
      <dgm:prSet/>
      <dgm:spPr/>
      <dgm:t>
        <a:bodyPr/>
        <a:lstStyle/>
        <a:p>
          <a:endParaRPr lang="en-US"/>
        </a:p>
      </dgm:t>
    </dgm:pt>
    <dgm:pt modelId="{0E8F94B9-D30A-4576-8959-28EE124CA29F}">
      <dgm:prSet phldrT="[Text]"/>
      <dgm:spPr>
        <a:solidFill>
          <a:srgbClr val="FFFF00">
            <a:alpha val="34000"/>
          </a:srgbClr>
        </a:soli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Low dose ibuprofen less than (1600 mg/day),  Celocoxib, Nambutone, Meloxicam </a:t>
          </a:r>
        </a:p>
      </dgm:t>
    </dgm:pt>
    <dgm:pt modelId="{16398095-C2C6-4548-9F04-0CC803A091F3}" type="parTrans" cxnId="{E9DAEF08-A600-4509-AB50-32DA4C56ADF5}">
      <dgm:prSet/>
      <dgm:spPr/>
      <dgm:t>
        <a:bodyPr/>
        <a:lstStyle/>
        <a:p>
          <a:endParaRPr lang="en-US"/>
        </a:p>
      </dgm:t>
    </dgm:pt>
    <dgm:pt modelId="{2067D0B9-FE78-4DAF-8633-F2117E156D87}" type="sibTrans" cxnId="{E9DAEF08-A600-4509-AB50-32DA4C56ADF5}">
      <dgm:prSet/>
      <dgm:spPr/>
      <dgm:t>
        <a:bodyPr/>
        <a:lstStyle/>
        <a:p>
          <a:endParaRPr lang="en-US"/>
        </a:p>
      </dgm:t>
    </dgm:pt>
    <dgm:pt modelId="{0882589B-1E7F-4052-844F-64BDA2E48C09}" type="pres">
      <dgm:prSet presAssocID="{7450926E-E14F-4BE1-BC27-8C2C5185E602}" presName="Name0" presStyleCnt="0">
        <dgm:presLayoutVars>
          <dgm:dir/>
          <dgm:resizeHandles val="exact"/>
        </dgm:presLayoutVars>
      </dgm:prSet>
      <dgm:spPr/>
    </dgm:pt>
    <dgm:pt modelId="{EA7FA9E0-20E3-4A51-B1C7-1FD6CFAD9AB0}" type="pres">
      <dgm:prSet presAssocID="{CE72FF4E-0978-4A0E-804D-EA8F8C7F6698}" presName="parTxOnly" presStyleLbl="node1" presStyleIdx="0" presStyleCnt="3" custLinFactNeighborX="-572" custLinFactNeighborY="15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8A46C4-B901-413A-BDCC-4F785C2CA6F8}" type="pres">
      <dgm:prSet presAssocID="{5AC7F0FD-9E24-481B-961E-C775D40133AB}" presName="parSpace" presStyleCnt="0"/>
      <dgm:spPr/>
    </dgm:pt>
    <dgm:pt modelId="{F6722693-8677-45A4-ABDF-01AECFC2A871}" type="pres">
      <dgm:prSet presAssocID="{6D196D84-1095-4788-85C3-8AA8B79DD14F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DF5A46-1B45-4B30-8833-65F48D821416}" type="pres">
      <dgm:prSet presAssocID="{934B7CC3-00A8-41D3-B2E7-1DD00D12EF19}" presName="parSpace" presStyleCnt="0"/>
      <dgm:spPr/>
    </dgm:pt>
    <dgm:pt modelId="{4A791BB4-E03F-4DFE-8FD2-5226B3C1C61B}" type="pres">
      <dgm:prSet presAssocID="{0E8F94B9-D30A-4576-8959-28EE124CA29F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012E13-7634-42CD-A1D9-DBC4B3FA1CD8}" srcId="{7450926E-E14F-4BE1-BC27-8C2C5185E602}" destId="{CE72FF4E-0978-4A0E-804D-EA8F8C7F6698}" srcOrd="0" destOrd="0" parTransId="{488BE118-D05E-479C-919E-24F9ECCD1C60}" sibTransId="{5AC7F0FD-9E24-481B-961E-C775D40133AB}"/>
    <dgm:cxn modelId="{5722EA48-B7D9-401E-960F-7E0D8A3D65FA}" type="presOf" srcId="{6D196D84-1095-4788-85C3-8AA8B79DD14F}" destId="{F6722693-8677-45A4-ABDF-01AECFC2A871}" srcOrd="0" destOrd="0" presId="urn:microsoft.com/office/officeart/2005/8/layout/hChevron3"/>
    <dgm:cxn modelId="{FB20D8CC-C81F-4E2F-8442-2F42BB5F586B}" srcId="{7450926E-E14F-4BE1-BC27-8C2C5185E602}" destId="{6D196D84-1095-4788-85C3-8AA8B79DD14F}" srcOrd="1" destOrd="0" parTransId="{4007307C-1FC3-4A59-9CC6-0EF43EB822D6}" sibTransId="{934B7CC3-00A8-41D3-B2E7-1DD00D12EF19}"/>
    <dgm:cxn modelId="{E9DAEF08-A600-4509-AB50-32DA4C56ADF5}" srcId="{7450926E-E14F-4BE1-BC27-8C2C5185E602}" destId="{0E8F94B9-D30A-4576-8959-28EE124CA29F}" srcOrd="2" destOrd="0" parTransId="{16398095-C2C6-4548-9F04-0CC803A091F3}" sibTransId="{2067D0B9-FE78-4DAF-8633-F2117E156D87}"/>
    <dgm:cxn modelId="{59023260-9872-47D0-A3A4-3973106D0FB3}" type="presOf" srcId="{7450926E-E14F-4BE1-BC27-8C2C5185E602}" destId="{0882589B-1E7F-4052-844F-64BDA2E48C09}" srcOrd="0" destOrd="0" presId="urn:microsoft.com/office/officeart/2005/8/layout/hChevron3"/>
    <dgm:cxn modelId="{BF1FE106-7021-4AC1-AE2B-1F289360675E}" type="presOf" srcId="{CE72FF4E-0978-4A0E-804D-EA8F8C7F6698}" destId="{EA7FA9E0-20E3-4A51-B1C7-1FD6CFAD9AB0}" srcOrd="0" destOrd="0" presId="urn:microsoft.com/office/officeart/2005/8/layout/hChevron3"/>
    <dgm:cxn modelId="{8587966A-F889-4FF0-A2AB-C74A566F06B2}" type="presOf" srcId="{0E8F94B9-D30A-4576-8959-28EE124CA29F}" destId="{4A791BB4-E03F-4DFE-8FD2-5226B3C1C61B}" srcOrd="0" destOrd="0" presId="urn:microsoft.com/office/officeart/2005/8/layout/hChevron3"/>
    <dgm:cxn modelId="{2D770662-E7DF-4AC4-89E9-98B84F0B3031}" type="presParOf" srcId="{0882589B-1E7F-4052-844F-64BDA2E48C09}" destId="{EA7FA9E0-20E3-4A51-B1C7-1FD6CFAD9AB0}" srcOrd="0" destOrd="0" presId="urn:microsoft.com/office/officeart/2005/8/layout/hChevron3"/>
    <dgm:cxn modelId="{FBEF0A80-102B-4B5D-997D-4908B034C66B}" type="presParOf" srcId="{0882589B-1E7F-4052-844F-64BDA2E48C09}" destId="{398A46C4-B901-413A-BDCC-4F785C2CA6F8}" srcOrd="1" destOrd="0" presId="urn:microsoft.com/office/officeart/2005/8/layout/hChevron3"/>
    <dgm:cxn modelId="{3BC134ED-DBDE-43D9-849D-D79E2712166B}" type="presParOf" srcId="{0882589B-1E7F-4052-844F-64BDA2E48C09}" destId="{F6722693-8677-45A4-ABDF-01AECFC2A871}" srcOrd="2" destOrd="0" presId="urn:microsoft.com/office/officeart/2005/8/layout/hChevron3"/>
    <dgm:cxn modelId="{A6D8706E-E58B-43B4-949F-C348715D895D}" type="presParOf" srcId="{0882589B-1E7F-4052-844F-64BDA2E48C09}" destId="{8CDF5A46-1B45-4B30-8833-65F48D821416}" srcOrd="3" destOrd="0" presId="urn:microsoft.com/office/officeart/2005/8/layout/hChevron3"/>
    <dgm:cxn modelId="{FF49FA10-6E97-47E3-84F6-9B9A83C53A3E}" type="presParOf" srcId="{0882589B-1E7F-4052-844F-64BDA2E48C09}" destId="{4A791BB4-E03F-4DFE-8FD2-5226B3C1C61B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3FF83-B07E-4513-A100-29DC41E9DF9E}">
      <dsp:nvSpPr>
        <dsp:cNvPr id="0" name=""/>
        <dsp:cNvSpPr/>
      </dsp:nvSpPr>
      <dsp:spPr>
        <a:xfrm>
          <a:off x="1335024" y="0"/>
          <a:ext cx="1152144" cy="64008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Defensive Mechanisms</a:t>
          </a:r>
        </a:p>
      </dsp:txBody>
      <dsp:txXfrm>
        <a:off x="1353771" y="18747"/>
        <a:ext cx="1114650" cy="602586"/>
      </dsp:txXfrm>
    </dsp:sp>
    <dsp:sp modelId="{22F6D247-B420-43ED-A4A3-AA451F7C66AD}">
      <dsp:nvSpPr>
        <dsp:cNvPr id="0" name=""/>
        <dsp:cNvSpPr/>
      </dsp:nvSpPr>
      <dsp:spPr>
        <a:xfrm>
          <a:off x="2999232" y="0"/>
          <a:ext cx="1152144" cy="64008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-3580161"/>
            <a:satOff val="16084"/>
            <a:lumOff val="1106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3580161"/>
              <a:satOff val="16084"/>
              <a:lumOff val="110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Aggressive Factors</a:t>
          </a:r>
        </a:p>
      </dsp:txBody>
      <dsp:txXfrm>
        <a:off x="3017979" y="18747"/>
        <a:ext cx="1114650" cy="602586"/>
      </dsp:txXfrm>
    </dsp:sp>
    <dsp:sp modelId="{5557F446-A384-42FB-85AA-4A001BAA933E}">
      <dsp:nvSpPr>
        <dsp:cNvPr id="0" name=""/>
        <dsp:cNvSpPr/>
      </dsp:nvSpPr>
      <dsp:spPr>
        <a:xfrm>
          <a:off x="2503170" y="2720340"/>
          <a:ext cx="480060" cy="480060"/>
        </a:xfrm>
        <a:prstGeom prst="triangle">
          <a:avLst/>
        </a:prstGeom>
        <a:solidFill>
          <a:srgbClr val="7030A0">
            <a:alpha val="90000"/>
          </a:srgbClr>
        </a:solidFill>
        <a:ln w="25400" cap="flat" cmpd="sng" algn="ctr">
          <a:solidFill>
            <a:schemeClr val="accent5">
              <a:tint val="40000"/>
              <a:alpha val="90000"/>
              <a:hueOff val="-7160321"/>
              <a:satOff val="32169"/>
              <a:lumOff val="221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55A8FA-23F7-4128-B456-800A58655514}">
      <dsp:nvSpPr>
        <dsp:cNvPr id="0" name=""/>
        <dsp:cNvSpPr/>
      </dsp:nvSpPr>
      <dsp:spPr>
        <a:xfrm rot="240000">
          <a:off x="1302580" y="2514628"/>
          <a:ext cx="2881239" cy="201475"/>
        </a:xfrm>
        <a:prstGeom prst="rect">
          <a:avLst/>
        </a:prstGeom>
        <a:solidFill>
          <a:schemeClr val="accent3">
            <a:lumMod val="75000"/>
            <a:alpha val="87000"/>
          </a:schemeClr>
        </a:solidFill>
        <a:ln w="25400" cap="flat" cmpd="sng" algn="ctr">
          <a:solidFill>
            <a:schemeClr val="accent5">
              <a:tint val="40000"/>
              <a:alpha val="90000"/>
              <a:hueOff val="-10740482"/>
              <a:satOff val="48253"/>
              <a:lumOff val="331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9245CB-5008-4B5A-8111-7F4E01A58A92}">
      <dsp:nvSpPr>
        <dsp:cNvPr id="0" name=""/>
        <dsp:cNvSpPr/>
      </dsp:nvSpPr>
      <dsp:spPr>
        <a:xfrm rot="240000">
          <a:off x="3014319" y="1704548"/>
          <a:ext cx="1185976" cy="841034"/>
        </a:xfrm>
        <a:prstGeom prst="roundRect">
          <a:avLst/>
        </a:prstGeom>
        <a:solidFill>
          <a:schemeClr val="accent5">
            <a:hueOff val="0"/>
            <a:satOff val="0"/>
            <a:lumOff val="0"/>
            <a:alpha val="58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Acid +Pepsin</a:t>
          </a:r>
        </a:p>
      </dsp:txBody>
      <dsp:txXfrm>
        <a:off x="3055375" y="1745604"/>
        <a:ext cx="1103864" cy="758922"/>
      </dsp:txXfrm>
    </dsp:sp>
    <dsp:sp modelId="{51E146B2-5C9D-4EA1-A066-B300D40931E9}">
      <dsp:nvSpPr>
        <dsp:cNvPr id="0" name=""/>
        <dsp:cNvSpPr/>
      </dsp:nvSpPr>
      <dsp:spPr>
        <a:xfrm rot="240000">
          <a:off x="3078327" y="834039"/>
          <a:ext cx="1185976" cy="841034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 val="63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Aggravating factors: NSAIDs or H. Pylori</a:t>
          </a:r>
        </a:p>
      </dsp:txBody>
      <dsp:txXfrm>
        <a:off x="3119383" y="875095"/>
        <a:ext cx="1103864" cy="758922"/>
      </dsp:txXfrm>
    </dsp:sp>
    <dsp:sp modelId="{1EDA0EE6-CAD6-4914-9A13-0F7DF01209AE}">
      <dsp:nvSpPr>
        <dsp:cNvPr id="0" name=""/>
        <dsp:cNvSpPr/>
      </dsp:nvSpPr>
      <dsp:spPr>
        <a:xfrm rot="240000">
          <a:off x="1366113" y="1589334"/>
          <a:ext cx="1185976" cy="841034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 val="64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Gastroduodenal mucosal defense</a:t>
          </a:r>
        </a:p>
      </dsp:txBody>
      <dsp:txXfrm>
        <a:off x="1407169" y="1630390"/>
        <a:ext cx="1103864" cy="7589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7FA9E0-20E3-4A51-B1C7-1FD6CFAD9AB0}">
      <dsp:nvSpPr>
        <dsp:cNvPr id="0" name=""/>
        <dsp:cNvSpPr/>
      </dsp:nvSpPr>
      <dsp:spPr>
        <a:xfrm>
          <a:off x="0" y="124440"/>
          <a:ext cx="2108299" cy="843319"/>
        </a:xfrm>
        <a:prstGeom prst="homePlate">
          <a:avLst/>
        </a:prstGeom>
        <a:solidFill>
          <a:schemeClr val="accent3">
            <a:hueOff val="0"/>
            <a:satOff val="0"/>
            <a:lumOff val="0"/>
            <a:alpha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tx1"/>
              </a:solidFill>
            </a:rPr>
            <a:t>Ketorolac, Piroxicam</a:t>
          </a:r>
        </a:p>
      </dsp:txBody>
      <dsp:txXfrm>
        <a:off x="0" y="124440"/>
        <a:ext cx="1897469" cy="843319"/>
      </dsp:txXfrm>
    </dsp:sp>
    <dsp:sp modelId="{F6722693-8677-45A4-ABDF-01AECFC2A871}">
      <dsp:nvSpPr>
        <dsp:cNvPr id="0" name=""/>
        <dsp:cNvSpPr/>
      </dsp:nvSpPr>
      <dsp:spPr>
        <a:xfrm>
          <a:off x="1689050" y="111740"/>
          <a:ext cx="2108299" cy="843319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 val="36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Naproxen, Indomethacin, Diclofenac</a:t>
          </a:r>
        </a:p>
      </dsp:txBody>
      <dsp:txXfrm>
        <a:off x="2110710" y="111740"/>
        <a:ext cx="1264980" cy="843319"/>
      </dsp:txXfrm>
    </dsp:sp>
    <dsp:sp modelId="{4A791BB4-E03F-4DFE-8FD2-5226B3C1C61B}">
      <dsp:nvSpPr>
        <dsp:cNvPr id="0" name=""/>
        <dsp:cNvSpPr/>
      </dsp:nvSpPr>
      <dsp:spPr>
        <a:xfrm>
          <a:off x="3375689" y="111740"/>
          <a:ext cx="2108299" cy="843319"/>
        </a:xfrm>
        <a:prstGeom prst="chevron">
          <a:avLst/>
        </a:prstGeom>
        <a:solidFill>
          <a:srgbClr val="FFFF00">
            <a:alpha val="34000"/>
          </a:srgb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chemeClr val="tx1"/>
              </a:solidFill>
            </a:rPr>
            <a:t>Low dose ibuprofen less than (1600 mg/day),  Celocoxib, Nambutone, Meloxicam </a:t>
          </a:r>
        </a:p>
      </dsp:txBody>
      <dsp:txXfrm>
        <a:off x="3797349" y="11174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22</Pages>
  <Words>3002</Words>
  <Characters>17118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PUD</vt:lpstr>
    </vt:vector>
  </TitlesOfParts>
  <Company>Temple University</Company>
  <LinksUpToDate>false</LinksUpToDate>
  <CharactersWithSpaces>20080</CharactersWithSpaces>
  <SharedDoc>false</SharedDoc>
  <HLinks>
    <vt:vector size="6" baseType="variant">
      <vt:variant>
        <vt:i4>4849724</vt:i4>
      </vt:variant>
      <vt:variant>
        <vt:i4>0</vt:i4>
      </vt:variant>
      <vt:variant>
        <vt:i4>0</vt:i4>
      </vt:variant>
      <vt:variant>
        <vt:i4>5</vt:i4>
      </vt:variant>
      <vt:variant>
        <vt:lpwstr>mailto:talitha.pulvino@temple.edu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PUD</dc:title>
  <dc:subject/>
  <dc:creator>Temple University</dc:creator>
  <cp:keywords/>
  <dc:description/>
  <cp:lastModifiedBy>Leon Do</cp:lastModifiedBy>
  <cp:revision>81</cp:revision>
  <dcterms:created xsi:type="dcterms:W3CDTF">2013-02-22T03:29:00Z</dcterms:created>
  <dcterms:modified xsi:type="dcterms:W3CDTF">2014-02-18T15:54:00Z</dcterms:modified>
</cp:coreProperties>
</file>