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762F3" w14:textId="29CFF3AD" w:rsidR="006C1D64" w:rsidRDefault="006C1D64" w:rsidP="006C1D64">
      <w:pPr>
        <w:spacing w:line="360" w:lineRule="auto"/>
        <w:rPr>
          <w:sz w:val="36"/>
        </w:rPr>
      </w:pPr>
      <w:r>
        <w:rPr>
          <w:rFonts w:ascii="Helvetica" w:hAnsi="Helvetica" w:cs="Helvetica"/>
          <w:noProof/>
        </w:rPr>
        <w:drawing>
          <wp:anchor distT="0" distB="0" distL="114300" distR="114300" simplePos="0" relativeHeight="251658240" behindDoc="0" locked="0" layoutInCell="1" allowOverlap="1" wp14:anchorId="02E597A6" wp14:editId="700B5ED6">
            <wp:simplePos x="0" y="0"/>
            <wp:positionH relativeFrom="column">
              <wp:posOffset>2285999</wp:posOffset>
            </wp:positionH>
            <wp:positionV relativeFrom="paragraph">
              <wp:posOffset>-685800</wp:posOffset>
            </wp:positionV>
            <wp:extent cx="3918857" cy="2057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8857"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BDEB8" w14:textId="77777777" w:rsidR="006C1D64" w:rsidRDefault="006C1D64" w:rsidP="006C1D64">
      <w:pPr>
        <w:spacing w:line="360" w:lineRule="auto"/>
        <w:rPr>
          <w:sz w:val="36"/>
        </w:rPr>
      </w:pPr>
    </w:p>
    <w:p w14:paraId="0BBBF58A" w14:textId="77777777" w:rsidR="006C1D64" w:rsidRDefault="006C1D64" w:rsidP="006C1D64">
      <w:pPr>
        <w:spacing w:line="360" w:lineRule="auto"/>
        <w:rPr>
          <w:sz w:val="36"/>
        </w:rPr>
      </w:pPr>
    </w:p>
    <w:p w14:paraId="10F2BE5B" w14:textId="42C20F40" w:rsidR="00872F3B" w:rsidRDefault="00872F3B" w:rsidP="006C1D64">
      <w:pPr>
        <w:spacing w:line="360" w:lineRule="auto"/>
        <w:rPr>
          <w:sz w:val="36"/>
        </w:rPr>
      </w:pPr>
      <w:r w:rsidRPr="00872F3B">
        <w:rPr>
          <w:sz w:val="36"/>
        </w:rPr>
        <w:t>Urinary Incontinence</w:t>
      </w:r>
    </w:p>
    <w:p w14:paraId="4B7D59B0" w14:textId="77777777" w:rsidR="00872F3B" w:rsidRDefault="00872F3B" w:rsidP="00FA690E">
      <w:pPr>
        <w:pStyle w:val="ListParagraph"/>
        <w:numPr>
          <w:ilvl w:val="0"/>
          <w:numId w:val="1"/>
        </w:numPr>
        <w:spacing w:line="360" w:lineRule="auto"/>
        <w:rPr>
          <w:rFonts w:ascii="Arial" w:hAnsi="Arial"/>
        </w:rPr>
      </w:pPr>
      <w:r w:rsidRPr="00872F3B">
        <w:rPr>
          <w:rFonts w:ascii="Arial" w:hAnsi="Arial"/>
        </w:rPr>
        <w:t>Definition: UI is defined as involuntary leakage of urine.</w:t>
      </w:r>
    </w:p>
    <w:p w14:paraId="22E68A5C" w14:textId="47720872" w:rsidR="00872F3B" w:rsidRDefault="00872F3B" w:rsidP="00FA690E">
      <w:pPr>
        <w:pStyle w:val="ListParagraph"/>
        <w:numPr>
          <w:ilvl w:val="0"/>
          <w:numId w:val="2"/>
        </w:numPr>
        <w:spacing w:line="360" w:lineRule="auto"/>
        <w:rPr>
          <w:rFonts w:ascii="Arial" w:hAnsi="Arial"/>
        </w:rPr>
      </w:pPr>
      <w:r>
        <w:rPr>
          <w:rFonts w:ascii="Arial" w:hAnsi="Arial"/>
        </w:rPr>
        <w:t>It is frequently accompanied by other bothersome LUT symptoms such as urgency, increased daytime frequency, and nocturia.</w:t>
      </w:r>
    </w:p>
    <w:p w14:paraId="0156A199" w14:textId="77777777" w:rsidR="00872F3B" w:rsidRPr="00FA690E" w:rsidRDefault="00872F3B" w:rsidP="00FA690E">
      <w:pPr>
        <w:pStyle w:val="ListParagraph"/>
        <w:numPr>
          <w:ilvl w:val="0"/>
          <w:numId w:val="2"/>
        </w:numPr>
        <w:spacing w:line="360" w:lineRule="auto"/>
        <w:rPr>
          <w:rFonts w:ascii="Arial" w:hAnsi="Arial"/>
        </w:rPr>
      </w:pPr>
      <w:r>
        <w:rPr>
          <w:rFonts w:ascii="Arial" w:hAnsi="Arial"/>
        </w:rPr>
        <w:t xml:space="preserve">It is a common yet </w:t>
      </w:r>
      <w:r w:rsidR="00AD03DC">
        <w:rPr>
          <w:rFonts w:ascii="Arial" w:hAnsi="Arial"/>
        </w:rPr>
        <w:t>under detected</w:t>
      </w:r>
      <w:r>
        <w:rPr>
          <w:rFonts w:ascii="Arial" w:hAnsi="Arial"/>
        </w:rPr>
        <w:t xml:space="preserve"> and underreported health problem that can significantly affect quality of life.</w:t>
      </w:r>
    </w:p>
    <w:p w14:paraId="73822A91" w14:textId="77777777" w:rsidR="00872F3B" w:rsidRDefault="00872F3B" w:rsidP="00FA690E">
      <w:pPr>
        <w:pStyle w:val="ListParagraph"/>
        <w:numPr>
          <w:ilvl w:val="0"/>
          <w:numId w:val="1"/>
        </w:numPr>
        <w:spacing w:line="360" w:lineRule="auto"/>
        <w:rPr>
          <w:rFonts w:ascii="Arial" w:hAnsi="Arial"/>
        </w:rPr>
      </w:pPr>
      <w:r>
        <w:rPr>
          <w:rFonts w:ascii="Arial" w:hAnsi="Arial"/>
        </w:rPr>
        <w:t>Epidemology:</w:t>
      </w:r>
    </w:p>
    <w:p w14:paraId="63A80186" w14:textId="77777777" w:rsidR="00DD4C93" w:rsidRDefault="00DD4C93" w:rsidP="00FA690E">
      <w:pPr>
        <w:pStyle w:val="ListParagraph"/>
        <w:numPr>
          <w:ilvl w:val="0"/>
          <w:numId w:val="3"/>
        </w:numPr>
        <w:spacing w:line="360" w:lineRule="auto"/>
        <w:rPr>
          <w:rFonts w:ascii="Arial" w:hAnsi="Arial"/>
        </w:rPr>
      </w:pPr>
      <w:r>
        <w:rPr>
          <w:rFonts w:ascii="Arial" w:hAnsi="Arial"/>
        </w:rPr>
        <w:t xml:space="preserve">The impact of this condition is substantial, crossing all racial, ethnic, and geographic boundaries </w:t>
      </w:r>
      <w:r w:rsidRPr="00DD4C93">
        <w:rPr>
          <w:rFonts w:ascii="Arial" w:hAnsi="Arial"/>
        </w:rPr>
        <w:sym w:font="Wingdings" w:char="F0E0"/>
      </w:r>
      <w:r>
        <w:rPr>
          <w:rFonts w:ascii="Arial" w:hAnsi="Arial"/>
        </w:rPr>
        <w:t xml:space="preserve"> lead to poorer quality of life</w:t>
      </w:r>
      <w:r w:rsidR="00CA7112">
        <w:rPr>
          <w:rFonts w:ascii="Arial" w:hAnsi="Arial"/>
        </w:rPr>
        <w:t>.</w:t>
      </w:r>
    </w:p>
    <w:p w14:paraId="3F4F5902" w14:textId="77777777" w:rsidR="00CA7112" w:rsidRDefault="00CA7112" w:rsidP="00FA690E">
      <w:pPr>
        <w:pStyle w:val="ListParagraph"/>
        <w:numPr>
          <w:ilvl w:val="0"/>
          <w:numId w:val="3"/>
        </w:numPr>
        <w:spacing w:line="360" w:lineRule="auto"/>
        <w:rPr>
          <w:rFonts w:ascii="Arial" w:hAnsi="Arial"/>
        </w:rPr>
      </w:pPr>
      <w:r>
        <w:rPr>
          <w:rFonts w:ascii="Arial" w:hAnsi="Arial"/>
        </w:rPr>
        <w:t>The condition can affect of all age groups and an increase in elderly, but the peak of incidience of UT in women around the age of menopause and increase after age 65.</w:t>
      </w:r>
    </w:p>
    <w:p w14:paraId="621667B5" w14:textId="77777777" w:rsidR="00872F3B" w:rsidRDefault="00922859" w:rsidP="00FA690E">
      <w:pPr>
        <w:pStyle w:val="ListParagraph"/>
        <w:numPr>
          <w:ilvl w:val="0"/>
          <w:numId w:val="3"/>
        </w:numPr>
        <w:spacing w:line="360" w:lineRule="auto"/>
        <w:rPr>
          <w:rFonts w:ascii="Arial" w:hAnsi="Arial"/>
        </w:rPr>
      </w:pPr>
      <w:r>
        <w:rPr>
          <w:rFonts w:ascii="Arial" w:hAnsi="Arial"/>
        </w:rPr>
        <w:t>Some studies report a higher incidence of UI overall in white populations as compared with AA.</w:t>
      </w:r>
    </w:p>
    <w:p w14:paraId="10957D9F" w14:textId="77777777" w:rsidR="00872F3B" w:rsidRPr="00FA690E" w:rsidRDefault="00922859" w:rsidP="00FA690E">
      <w:pPr>
        <w:pStyle w:val="ListParagraph"/>
        <w:numPr>
          <w:ilvl w:val="0"/>
          <w:numId w:val="3"/>
        </w:numPr>
        <w:spacing w:line="360" w:lineRule="auto"/>
        <w:rPr>
          <w:rFonts w:ascii="Arial" w:hAnsi="Arial"/>
        </w:rPr>
      </w:pPr>
      <w:r>
        <w:rPr>
          <w:rFonts w:ascii="Arial" w:hAnsi="Arial"/>
        </w:rPr>
        <w:t>The UI is half as common in men as in women</w:t>
      </w:r>
    </w:p>
    <w:p w14:paraId="520101B2" w14:textId="77777777" w:rsidR="00BC77F4" w:rsidRDefault="00872F3B" w:rsidP="00FA690E">
      <w:pPr>
        <w:pStyle w:val="ListParagraph"/>
        <w:numPr>
          <w:ilvl w:val="0"/>
          <w:numId w:val="1"/>
        </w:numPr>
        <w:spacing w:line="360" w:lineRule="auto"/>
        <w:rPr>
          <w:rFonts w:ascii="Arial" w:hAnsi="Arial"/>
        </w:rPr>
      </w:pPr>
      <w:r>
        <w:rPr>
          <w:rFonts w:ascii="Arial" w:hAnsi="Arial"/>
        </w:rPr>
        <w:t>Etiology and Pathophysiology</w:t>
      </w:r>
      <w:r w:rsidR="00EB1BDF">
        <w:rPr>
          <w:rFonts w:ascii="Arial" w:hAnsi="Arial"/>
        </w:rPr>
        <w:t>: 4</w:t>
      </w:r>
    </w:p>
    <w:p w14:paraId="0BAAE7B4" w14:textId="77777777" w:rsidR="00BC77F4" w:rsidRDefault="00BC77F4" w:rsidP="00FA690E">
      <w:pPr>
        <w:pStyle w:val="ListParagraph"/>
        <w:numPr>
          <w:ilvl w:val="0"/>
          <w:numId w:val="4"/>
        </w:numPr>
        <w:spacing w:line="360" w:lineRule="auto"/>
        <w:rPr>
          <w:rFonts w:ascii="Arial" w:hAnsi="Arial"/>
        </w:rPr>
      </w:pPr>
      <w:r>
        <w:rPr>
          <w:rFonts w:ascii="Arial" w:hAnsi="Arial"/>
        </w:rPr>
        <w:t xml:space="preserve">Urethral Underactivity </w:t>
      </w:r>
      <w:r w:rsidR="00932BAD">
        <w:rPr>
          <w:rFonts w:ascii="Arial" w:hAnsi="Arial"/>
        </w:rPr>
        <w:t xml:space="preserve"> (UU) or </w:t>
      </w:r>
      <w:r>
        <w:rPr>
          <w:rFonts w:ascii="Arial" w:hAnsi="Arial"/>
        </w:rPr>
        <w:t>(Stress Urinary Incontinence)</w:t>
      </w:r>
    </w:p>
    <w:p w14:paraId="3687964B" w14:textId="77777777" w:rsidR="00BC77F4" w:rsidRDefault="00BC77F4" w:rsidP="00FA690E">
      <w:pPr>
        <w:pStyle w:val="ListParagraph"/>
        <w:numPr>
          <w:ilvl w:val="0"/>
          <w:numId w:val="5"/>
        </w:numPr>
        <w:spacing w:line="360" w:lineRule="auto"/>
        <w:rPr>
          <w:rFonts w:ascii="Arial" w:hAnsi="Arial"/>
        </w:rPr>
      </w:pPr>
      <w:r>
        <w:rPr>
          <w:rFonts w:ascii="Arial" w:hAnsi="Arial"/>
        </w:rPr>
        <w:t>Increases in intraabdominal pressure during physical activity are transmitted to the bladder, compressing it and forcing urine through the weakened sphincters.</w:t>
      </w:r>
    </w:p>
    <w:p w14:paraId="0A9D940A" w14:textId="77777777" w:rsidR="00BC77F4" w:rsidRPr="00AD03DC" w:rsidRDefault="00BC77F4" w:rsidP="00FA690E">
      <w:pPr>
        <w:pStyle w:val="ListParagraph"/>
        <w:numPr>
          <w:ilvl w:val="0"/>
          <w:numId w:val="5"/>
        </w:numPr>
        <w:spacing w:line="360" w:lineRule="auto"/>
        <w:rPr>
          <w:rFonts w:ascii="Arial" w:hAnsi="Arial"/>
          <w:highlight w:val="yellow"/>
        </w:rPr>
      </w:pPr>
      <w:r w:rsidRPr="00AD03DC">
        <w:rPr>
          <w:rFonts w:ascii="Arial" w:hAnsi="Arial"/>
          <w:highlight w:val="yellow"/>
        </w:rPr>
        <w:t xml:space="preserve">In women, the peak of SUI is during or after the onset of menopause </w:t>
      </w:r>
      <w:r w:rsidRPr="00AD03DC">
        <w:rPr>
          <w:rFonts w:ascii="Arial" w:hAnsi="Arial"/>
          <w:highlight w:val="yellow"/>
        </w:rPr>
        <w:sym w:font="Wingdings" w:char="F0E0"/>
      </w:r>
      <w:r w:rsidRPr="00AD03DC">
        <w:rPr>
          <w:rFonts w:ascii="Arial" w:hAnsi="Arial"/>
          <w:highlight w:val="yellow"/>
        </w:rPr>
        <w:t xml:space="preserve"> hormonal factors play an important role in continence</w:t>
      </w:r>
    </w:p>
    <w:p w14:paraId="5A450079" w14:textId="77777777" w:rsidR="00BC77F4" w:rsidRPr="00FA690E" w:rsidRDefault="00BC77F4" w:rsidP="00FA690E">
      <w:pPr>
        <w:pStyle w:val="ListParagraph"/>
        <w:numPr>
          <w:ilvl w:val="0"/>
          <w:numId w:val="5"/>
        </w:numPr>
        <w:spacing w:line="360" w:lineRule="auto"/>
        <w:rPr>
          <w:rFonts w:ascii="Arial" w:hAnsi="Arial"/>
        </w:rPr>
      </w:pPr>
      <w:r>
        <w:rPr>
          <w:rFonts w:ascii="Arial" w:hAnsi="Arial"/>
        </w:rPr>
        <w:t xml:space="preserve">In men, SUI is most commonly the result of prior LUT </w:t>
      </w:r>
      <w:r w:rsidR="00AD03DC">
        <w:rPr>
          <w:rFonts w:ascii="Arial" w:hAnsi="Arial"/>
        </w:rPr>
        <w:t xml:space="preserve"> (lower urinary tract) </w:t>
      </w:r>
      <w:r>
        <w:rPr>
          <w:rFonts w:ascii="Arial" w:hAnsi="Arial"/>
        </w:rPr>
        <w:t xml:space="preserve">surgery or injury, with resulting compromise of the </w:t>
      </w:r>
      <w:r>
        <w:rPr>
          <w:rFonts w:ascii="Arial" w:hAnsi="Arial"/>
        </w:rPr>
        <w:lastRenderedPageBreak/>
        <w:t xml:space="preserve">sphincter mechanism within and external to urethra </w:t>
      </w:r>
      <w:r w:rsidRPr="00BC77F4">
        <w:rPr>
          <w:rFonts w:ascii="Arial" w:hAnsi="Arial"/>
        </w:rPr>
        <w:sym w:font="Wingdings" w:char="F0E0"/>
      </w:r>
      <w:r>
        <w:rPr>
          <w:rFonts w:ascii="Arial" w:hAnsi="Arial"/>
        </w:rPr>
        <w:t xml:space="preserve"> it is </w:t>
      </w:r>
      <w:r w:rsidRPr="00FA690E">
        <w:rPr>
          <w:rFonts w:ascii="Arial" w:hAnsi="Arial"/>
          <w:color w:val="FF0000"/>
        </w:rPr>
        <w:t>uncommon</w:t>
      </w:r>
      <w:r>
        <w:rPr>
          <w:rFonts w:ascii="Arial" w:hAnsi="Arial"/>
        </w:rPr>
        <w:t xml:space="preserve"> in men</w:t>
      </w:r>
      <w:r w:rsidRPr="00FA690E">
        <w:rPr>
          <w:rFonts w:ascii="Arial" w:hAnsi="Arial"/>
        </w:rPr>
        <w:t xml:space="preserve">  </w:t>
      </w:r>
    </w:p>
    <w:p w14:paraId="24300EAE" w14:textId="77777777" w:rsidR="00BC77F4" w:rsidRDefault="00BC77F4" w:rsidP="00FA690E">
      <w:pPr>
        <w:pStyle w:val="ListParagraph"/>
        <w:numPr>
          <w:ilvl w:val="0"/>
          <w:numId w:val="4"/>
        </w:numPr>
        <w:spacing w:line="360" w:lineRule="auto"/>
        <w:rPr>
          <w:rFonts w:ascii="Arial" w:hAnsi="Arial"/>
        </w:rPr>
      </w:pPr>
      <w:r>
        <w:rPr>
          <w:rFonts w:ascii="Arial" w:hAnsi="Arial"/>
        </w:rPr>
        <w:t>Bladder Overactivity (Urge Urinary Incontinence)</w:t>
      </w:r>
    </w:p>
    <w:p w14:paraId="62AFF230" w14:textId="269D87EA" w:rsidR="00B92C70" w:rsidRDefault="00B92C70" w:rsidP="00FA690E">
      <w:pPr>
        <w:pStyle w:val="ListParagraph"/>
        <w:numPr>
          <w:ilvl w:val="0"/>
          <w:numId w:val="6"/>
        </w:numPr>
        <w:spacing w:line="360" w:lineRule="auto"/>
        <w:rPr>
          <w:rFonts w:ascii="Arial" w:hAnsi="Arial"/>
        </w:rPr>
      </w:pPr>
      <w:r>
        <w:rPr>
          <w:rFonts w:ascii="Arial" w:hAnsi="Arial"/>
        </w:rPr>
        <w:t xml:space="preserve">Symptoms of bladder overactivity occur because the detrusor muscle is overactive and contracts inappropriately during the filling phase </w:t>
      </w:r>
      <w:r w:rsidRPr="00B92C70">
        <w:rPr>
          <w:rFonts w:ascii="Arial" w:hAnsi="Arial"/>
        </w:rPr>
        <w:sym w:font="Wingdings" w:char="F0E0"/>
      </w:r>
      <w:r>
        <w:rPr>
          <w:rFonts w:ascii="Arial" w:hAnsi="Arial"/>
        </w:rPr>
        <w:t xml:space="preserve"> the terms overactive bladder (a symptom syndro</w:t>
      </w:r>
      <w:r w:rsidR="006C1D64">
        <w:rPr>
          <w:rFonts w:ascii="Arial" w:hAnsi="Arial"/>
        </w:rPr>
        <w:t>me) and detrusor overactivity (</w:t>
      </w:r>
      <w:r>
        <w:rPr>
          <w:rFonts w:ascii="Arial" w:hAnsi="Arial"/>
        </w:rPr>
        <w:t>a urodynamic diagnosis) are distinct and should not used interchangeably.</w:t>
      </w:r>
    </w:p>
    <w:p w14:paraId="40632F33" w14:textId="62056356" w:rsidR="00E52AA1" w:rsidRDefault="00E52AA1" w:rsidP="00FA690E">
      <w:pPr>
        <w:pStyle w:val="ListParagraph"/>
        <w:numPr>
          <w:ilvl w:val="0"/>
          <w:numId w:val="6"/>
        </w:numPr>
        <w:spacing w:line="360" w:lineRule="auto"/>
        <w:rPr>
          <w:rFonts w:ascii="Arial" w:hAnsi="Arial"/>
        </w:rPr>
      </w:pPr>
      <w:r>
        <w:rPr>
          <w:rFonts w:ascii="Arial" w:hAnsi="Arial"/>
        </w:rPr>
        <w:tab/>
        <w:t>Overactive bladder is a syndrome</w:t>
      </w:r>
      <w:r w:rsidR="00345F99">
        <w:rPr>
          <w:rFonts w:ascii="Arial" w:hAnsi="Arial"/>
        </w:rPr>
        <w:t xml:space="preserve"> w/o association of a known pathologic condition</w:t>
      </w:r>
    </w:p>
    <w:p w14:paraId="463B0A42" w14:textId="03C0C086" w:rsidR="00345F99" w:rsidRPr="00B92C70" w:rsidRDefault="00345F99" w:rsidP="00FA690E">
      <w:pPr>
        <w:pStyle w:val="ListParagraph"/>
        <w:numPr>
          <w:ilvl w:val="0"/>
          <w:numId w:val="6"/>
        </w:numPr>
        <w:spacing w:line="360" w:lineRule="auto"/>
        <w:rPr>
          <w:rFonts w:ascii="Arial" w:hAnsi="Arial"/>
        </w:rPr>
      </w:pPr>
      <w:r>
        <w:rPr>
          <w:rFonts w:ascii="Arial" w:hAnsi="Arial"/>
        </w:rPr>
        <w:tab/>
        <w:t>Detrusor overactivity is a diagnosis specifically caused by the detrusor muscle</w:t>
      </w:r>
      <w:bookmarkStart w:id="0" w:name="_GoBack"/>
      <w:bookmarkEnd w:id="0"/>
    </w:p>
    <w:p w14:paraId="12EB187F" w14:textId="77777777" w:rsidR="00BC77F4" w:rsidRPr="00FA690E" w:rsidRDefault="00B92C70" w:rsidP="00FA690E">
      <w:pPr>
        <w:pStyle w:val="ListParagraph"/>
        <w:numPr>
          <w:ilvl w:val="0"/>
          <w:numId w:val="6"/>
        </w:numPr>
        <w:spacing w:line="360" w:lineRule="auto"/>
        <w:rPr>
          <w:rFonts w:ascii="Arial" w:hAnsi="Arial"/>
          <w:color w:val="FF0000"/>
        </w:rPr>
      </w:pPr>
      <w:r>
        <w:rPr>
          <w:rFonts w:ascii="Arial" w:hAnsi="Arial"/>
        </w:rPr>
        <w:t xml:space="preserve">Mechanisim for overactive bladder and UUI must be either neurogenic or myogenic </w:t>
      </w:r>
      <w:r w:rsidRPr="00B92C70">
        <w:rPr>
          <w:rFonts w:ascii="Arial" w:hAnsi="Arial"/>
        </w:rPr>
        <w:sym w:font="Wingdings" w:char="F0E0"/>
      </w:r>
      <w:r>
        <w:rPr>
          <w:rFonts w:ascii="Arial" w:hAnsi="Arial"/>
        </w:rPr>
        <w:t xml:space="preserve"> </w:t>
      </w:r>
      <w:r w:rsidRPr="00B92C70">
        <w:rPr>
          <w:rFonts w:ascii="Arial" w:hAnsi="Arial"/>
          <w:color w:val="FF0000"/>
        </w:rPr>
        <w:t>Idiopathic</w:t>
      </w:r>
    </w:p>
    <w:p w14:paraId="601779AE" w14:textId="77777777" w:rsidR="00B92C70" w:rsidRDefault="00BC77F4" w:rsidP="00FA690E">
      <w:pPr>
        <w:pStyle w:val="ListParagraph"/>
        <w:numPr>
          <w:ilvl w:val="0"/>
          <w:numId w:val="4"/>
        </w:numPr>
        <w:spacing w:line="360" w:lineRule="auto"/>
        <w:rPr>
          <w:rFonts w:ascii="Arial" w:hAnsi="Arial"/>
        </w:rPr>
      </w:pPr>
      <w:r>
        <w:rPr>
          <w:rFonts w:ascii="Arial" w:hAnsi="Arial"/>
        </w:rPr>
        <w:t>Urethral Overactivty and/ or Bladder Underactivity (Overflow Incontinence)</w:t>
      </w:r>
    </w:p>
    <w:p w14:paraId="7FA3F53A" w14:textId="77777777" w:rsidR="00B92C70" w:rsidRDefault="00B92C70" w:rsidP="00FA690E">
      <w:pPr>
        <w:pStyle w:val="ListParagraph"/>
        <w:numPr>
          <w:ilvl w:val="0"/>
          <w:numId w:val="7"/>
        </w:numPr>
        <w:spacing w:line="360" w:lineRule="auto"/>
        <w:rPr>
          <w:rFonts w:ascii="Arial" w:hAnsi="Arial"/>
        </w:rPr>
      </w:pPr>
      <w:r>
        <w:rPr>
          <w:rFonts w:ascii="Arial" w:hAnsi="Arial"/>
        </w:rPr>
        <w:t xml:space="preserve">It is important but </w:t>
      </w:r>
      <w:r w:rsidRPr="00EB1BDF">
        <w:rPr>
          <w:rFonts w:ascii="Arial" w:hAnsi="Arial"/>
          <w:color w:val="FF0000"/>
        </w:rPr>
        <w:t>uncommon type of UI in men and women</w:t>
      </w:r>
      <w:r>
        <w:rPr>
          <w:rFonts w:ascii="Arial" w:hAnsi="Arial"/>
        </w:rPr>
        <w:t>.</w:t>
      </w:r>
    </w:p>
    <w:p w14:paraId="5003BD49" w14:textId="77777777" w:rsidR="00B92C70" w:rsidRDefault="00B92C70" w:rsidP="00FA690E">
      <w:pPr>
        <w:pStyle w:val="ListParagraph"/>
        <w:numPr>
          <w:ilvl w:val="0"/>
          <w:numId w:val="7"/>
        </w:numPr>
        <w:spacing w:line="360" w:lineRule="auto"/>
        <w:rPr>
          <w:rFonts w:ascii="Arial" w:hAnsi="Arial"/>
        </w:rPr>
      </w:pPr>
      <w:r>
        <w:rPr>
          <w:rFonts w:ascii="Arial" w:hAnsi="Arial"/>
        </w:rPr>
        <w:t xml:space="preserve">Overflow </w:t>
      </w:r>
      <w:r w:rsidR="00EB1BDF">
        <w:rPr>
          <w:rFonts w:ascii="Arial" w:hAnsi="Arial"/>
        </w:rPr>
        <w:t>incontinence</w:t>
      </w:r>
      <w:r>
        <w:rPr>
          <w:rFonts w:ascii="Arial" w:hAnsi="Arial"/>
        </w:rPr>
        <w:t xml:space="preserve"> results when the bladder is filled to capacity at all times but is unable to empty, causing urine to leak from a distended bladder past a normal or even overactive outlet and sphincter</w:t>
      </w:r>
    </w:p>
    <w:p w14:paraId="3A81863E" w14:textId="77777777" w:rsidR="00B92C70" w:rsidRDefault="00B92C70" w:rsidP="00FA690E">
      <w:pPr>
        <w:pStyle w:val="ListParagraph"/>
        <w:numPr>
          <w:ilvl w:val="0"/>
          <w:numId w:val="7"/>
        </w:numPr>
        <w:spacing w:line="360" w:lineRule="auto"/>
        <w:rPr>
          <w:rFonts w:ascii="Arial" w:hAnsi="Arial"/>
        </w:rPr>
      </w:pPr>
      <w:r>
        <w:rPr>
          <w:rFonts w:ascii="Arial" w:hAnsi="Arial"/>
        </w:rPr>
        <w:t>In UO: there is a resistance to the flow of urine during volitional voiding is increased resulting in functional or anatomic obstruction and incomplete bladder emptying.</w:t>
      </w:r>
    </w:p>
    <w:p w14:paraId="1607C182" w14:textId="77777777" w:rsidR="00B92C70" w:rsidRDefault="00B92C70" w:rsidP="00FA690E">
      <w:pPr>
        <w:pStyle w:val="ListParagraph"/>
        <w:numPr>
          <w:ilvl w:val="0"/>
          <w:numId w:val="7"/>
        </w:numPr>
        <w:spacing w:line="360" w:lineRule="auto"/>
        <w:rPr>
          <w:rFonts w:ascii="Arial" w:hAnsi="Arial"/>
        </w:rPr>
      </w:pPr>
      <w:r>
        <w:rPr>
          <w:rFonts w:ascii="Arial" w:hAnsi="Arial"/>
        </w:rPr>
        <w:t>The most common cause of uthrethral overactivity in men is antomic urethral obstruction including BPH and prostate cancer.</w:t>
      </w:r>
    </w:p>
    <w:p w14:paraId="4297488E" w14:textId="77777777" w:rsidR="00932BAD" w:rsidRDefault="00B92C70" w:rsidP="00FA690E">
      <w:pPr>
        <w:pStyle w:val="ListParagraph"/>
        <w:numPr>
          <w:ilvl w:val="0"/>
          <w:numId w:val="7"/>
        </w:numPr>
        <w:spacing w:line="360" w:lineRule="auto"/>
        <w:rPr>
          <w:rFonts w:ascii="Arial" w:hAnsi="Arial"/>
        </w:rPr>
      </w:pPr>
      <w:r>
        <w:rPr>
          <w:rFonts w:ascii="Arial" w:hAnsi="Arial"/>
        </w:rPr>
        <w:t>In women, UO is rare but may r</w:t>
      </w:r>
      <w:r w:rsidR="00932BAD">
        <w:rPr>
          <w:rFonts w:ascii="Arial" w:hAnsi="Arial"/>
        </w:rPr>
        <w:t>esult from cystocele formation or surgical overcorrection following anti-SUI surgery.</w:t>
      </w:r>
    </w:p>
    <w:p w14:paraId="40C74F7F" w14:textId="77777777" w:rsidR="00BC77F4" w:rsidRPr="00FA690E" w:rsidRDefault="00932BAD" w:rsidP="00FA690E">
      <w:pPr>
        <w:pStyle w:val="ListParagraph"/>
        <w:numPr>
          <w:ilvl w:val="0"/>
          <w:numId w:val="7"/>
        </w:numPr>
        <w:spacing w:line="360" w:lineRule="auto"/>
        <w:rPr>
          <w:rFonts w:ascii="Arial" w:hAnsi="Arial"/>
        </w:rPr>
      </w:pPr>
      <w:r>
        <w:rPr>
          <w:rFonts w:ascii="Arial" w:hAnsi="Arial"/>
        </w:rPr>
        <w:t>BU may result in overflow incontinence.</w:t>
      </w:r>
    </w:p>
    <w:p w14:paraId="394181CB" w14:textId="77777777" w:rsidR="00932BAD" w:rsidRDefault="00BC77F4" w:rsidP="00FA690E">
      <w:pPr>
        <w:pStyle w:val="ListParagraph"/>
        <w:numPr>
          <w:ilvl w:val="0"/>
          <w:numId w:val="4"/>
        </w:numPr>
        <w:spacing w:line="360" w:lineRule="auto"/>
        <w:rPr>
          <w:rFonts w:ascii="Arial" w:hAnsi="Arial"/>
        </w:rPr>
      </w:pPr>
      <w:r>
        <w:rPr>
          <w:rFonts w:ascii="Arial" w:hAnsi="Arial"/>
        </w:rPr>
        <w:t>Mixed incontinence and other types of UI</w:t>
      </w:r>
    </w:p>
    <w:p w14:paraId="211D2D9A" w14:textId="77777777" w:rsidR="00932BAD" w:rsidRDefault="00932BAD" w:rsidP="00FA690E">
      <w:pPr>
        <w:pStyle w:val="ListParagraph"/>
        <w:numPr>
          <w:ilvl w:val="0"/>
          <w:numId w:val="8"/>
        </w:numPr>
        <w:spacing w:line="360" w:lineRule="auto"/>
        <w:rPr>
          <w:rFonts w:ascii="Arial" w:hAnsi="Arial"/>
        </w:rPr>
      </w:pPr>
      <w:r>
        <w:rPr>
          <w:rFonts w:ascii="Arial" w:hAnsi="Arial"/>
        </w:rPr>
        <w:t xml:space="preserve">The combo of BO and UU is called </w:t>
      </w:r>
      <w:r w:rsidRPr="00EB1BDF">
        <w:rPr>
          <w:rFonts w:ascii="Arial" w:hAnsi="Arial"/>
          <w:color w:val="FF0000"/>
        </w:rPr>
        <w:t>mixed incontinence</w:t>
      </w:r>
      <w:r>
        <w:rPr>
          <w:rFonts w:ascii="Arial" w:hAnsi="Arial"/>
        </w:rPr>
        <w:t>.</w:t>
      </w:r>
    </w:p>
    <w:p w14:paraId="776B3326" w14:textId="77777777" w:rsidR="00932BAD" w:rsidRDefault="00932BAD" w:rsidP="00FA690E">
      <w:pPr>
        <w:pStyle w:val="ListParagraph"/>
        <w:numPr>
          <w:ilvl w:val="0"/>
          <w:numId w:val="8"/>
        </w:numPr>
        <w:spacing w:line="360" w:lineRule="auto"/>
        <w:rPr>
          <w:rFonts w:ascii="Arial" w:hAnsi="Arial"/>
        </w:rPr>
      </w:pPr>
      <w:r w:rsidRPr="00EB1BDF">
        <w:rPr>
          <w:rFonts w:ascii="Arial" w:hAnsi="Arial"/>
          <w:color w:val="FF0000"/>
        </w:rPr>
        <w:t>Functional incontinence</w:t>
      </w:r>
      <w:r>
        <w:rPr>
          <w:rFonts w:ascii="Arial" w:hAnsi="Arial"/>
        </w:rPr>
        <w:t xml:space="preserve"> is not cause by bladder or urethra specific factors, but </w:t>
      </w:r>
      <w:r w:rsidRPr="00EB1BDF">
        <w:rPr>
          <w:rFonts w:ascii="Arial" w:hAnsi="Arial"/>
          <w:color w:val="FF0000"/>
        </w:rPr>
        <w:t>is linked to the primary disease process more than any extrinsic or intrinsic deficit of LUT</w:t>
      </w:r>
      <w:r>
        <w:rPr>
          <w:rFonts w:ascii="Arial" w:hAnsi="Arial"/>
        </w:rPr>
        <w:t xml:space="preserve"> such as dementia and postoperative orthopedic surgery patients.</w:t>
      </w:r>
    </w:p>
    <w:p w14:paraId="66964093" w14:textId="77777777" w:rsidR="00FA690E" w:rsidRPr="00EB1BDF" w:rsidRDefault="00932BAD" w:rsidP="00FA690E">
      <w:pPr>
        <w:pStyle w:val="ListParagraph"/>
        <w:numPr>
          <w:ilvl w:val="0"/>
          <w:numId w:val="8"/>
        </w:numPr>
        <w:spacing w:line="360" w:lineRule="auto"/>
        <w:rPr>
          <w:rFonts w:ascii="Arial" w:hAnsi="Arial"/>
          <w:color w:val="FF0000"/>
        </w:rPr>
      </w:pPr>
      <w:r>
        <w:rPr>
          <w:rFonts w:ascii="Arial" w:hAnsi="Arial"/>
        </w:rPr>
        <w:t>Many localized or systemic illnesses may result in UI because of their effects on the LUT or the surrounding structures</w:t>
      </w:r>
      <w:r w:rsidR="00FA690E">
        <w:rPr>
          <w:rFonts w:ascii="Arial" w:hAnsi="Arial"/>
        </w:rPr>
        <w:t xml:space="preserve">: </w:t>
      </w:r>
      <w:r w:rsidR="00FA690E" w:rsidRPr="00EB1BDF">
        <w:rPr>
          <w:rFonts w:ascii="Arial" w:hAnsi="Arial"/>
          <w:color w:val="FF0000"/>
        </w:rPr>
        <w:t>dementia/delirium, depression, UTI (cystitis), postmenopausal atrophic urethritis or vaginitis, DM, neurologic disease, pelvic malignancy, constipation and congenital malformations.</w:t>
      </w:r>
    </w:p>
    <w:p w14:paraId="2D382657" w14:textId="77777777" w:rsidR="00872F3B" w:rsidRPr="00FA690E" w:rsidRDefault="00FA690E" w:rsidP="00FA690E">
      <w:pPr>
        <w:pStyle w:val="ListParagraph"/>
        <w:numPr>
          <w:ilvl w:val="0"/>
          <w:numId w:val="4"/>
        </w:numPr>
        <w:spacing w:line="360" w:lineRule="auto"/>
        <w:rPr>
          <w:rFonts w:ascii="Arial" w:hAnsi="Arial"/>
        </w:rPr>
      </w:pPr>
      <w:r>
        <w:rPr>
          <w:rFonts w:ascii="Arial" w:hAnsi="Arial"/>
        </w:rPr>
        <w:t>Medications that influence LUT function: page 1470</w:t>
      </w:r>
    </w:p>
    <w:p w14:paraId="5E239066" w14:textId="77777777" w:rsidR="00EB1BDF" w:rsidRDefault="00872F3B" w:rsidP="00FA690E">
      <w:pPr>
        <w:pStyle w:val="ListParagraph"/>
        <w:numPr>
          <w:ilvl w:val="0"/>
          <w:numId w:val="1"/>
        </w:numPr>
        <w:spacing w:line="360" w:lineRule="auto"/>
        <w:rPr>
          <w:rFonts w:ascii="Arial" w:hAnsi="Arial"/>
        </w:rPr>
      </w:pPr>
      <w:r>
        <w:rPr>
          <w:rFonts w:ascii="Arial" w:hAnsi="Arial"/>
        </w:rPr>
        <w:t>Clinical presentation</w:t>
      </w:r>
    </w:p>
    <w:p w14:paraId="15678D1F" w14:textId="77777777" w:rsidR="00042B60" w:rsidRDefault="00EB1BDF" w:rsidP="00EB1BDF">
      <w:pPr>
        <w:pStyle w:val="ListParagraph"/>
        <w:numPr>
          <w:ilvl w:val="0"/>
          <w:numId w:val="9"/>
        </w:numPr>
        <w:spacing w:line="360" w:lineRule="auto"/>
        <w:rPr>
          <w:rFonts w:ascii="Arial" w:hAnsi="Arial"/>
        </w:rPr>
      </w:pPr>
      <w:r>
        <w:rPr>
          <w:rFonts w:ascii="Arial" w:hAnsi="Arial"/>
        </w:rPr>
        <w:t xml:space="preserve">Urethral Underactivity: </w:t>
      </w:r>
    </w:p>
    <w:p w14:paraId="409D9F99" w14:textId="77777777" w:rsidR="00042B60" w:rsidRDefault="00042B60" w:rsidP="00042B60">
      <w:pPr>
        <w:pStyle w:val="ListParagraph"/>
        <w:numPr>
          <w:ilvl w:val="0"/>
          <w:numId w:val="10"/>
        </w:numPr>
        <w:spacing w:line="360" w:lineRule="auto"/>
        <w:rPr>
          <w:rFonts w:ascii="Arial" w:hAnsi="Arial"/>
        </w:rPr>
      </w:pPr>
      <w:r>
        <w:rPr>
          <w:rFonts w:ascii="Arial" w:hAnsi="Arial"/>
        </w:rPr>
        <w:t>Patients note UI during activities</w:t>
      </w:r>
    </w:p>
    <w:p w14:paraId="7A009967" w14:textId="77777777" w:rsidR="00042B60" w:rsidRDefault="00042B60" w:rsidP="00042B60">
      <w:pPr>
        <w:pStyle w:val="ListParagraph"/>
        <w:numPr>
          <w:ilvl w:val="0"/>
          <w:numId w:val="10"/>
        </w:numPr>
        <w:spacing w:line="360" w:lineRule="auto"/>
        <w:rPr>
          <w:rFonts w:ascii="Arial" w:hAnsi="Arial"/>
        </w:rPr>
      </w:pPr>
      <w:r>
        <w:rPr>
          <w:rFonts w:ascii="Arial" w:hAnsi="Arial"/>
        </w:rPr>
        <w:t>Occurs more common in women</w:t>
      </w:r>
    </w:p>
    <w:p w14:paraId="040A090C" w14:textId="77777777" w:rsidR="00042B60" w:rsidRDefault="00042B60" w:rsidP="00042B60">
      <w:pPr>
        <w:pStyle w:val="ListParagraph"/>
        <w:numPr>
          <w:ilvl w:val="0"/>
          <w:numId w:val="10"/>
        </w:numPr>
        <w:spacing w:line="360" w:lineRule="auto"/>
        <w:rPr>
          <w:rFonts w:ascii="Arial" w:hAnsi="Arial"/>
        </w:rPr>
      </w:pPr>
      <w:r>
        <w:rPr>
          <w:rFonts w:ascii="Arial" w:hAnsi="Arial"/>
        </w:rPr>
        <w:t xml:space="preserve">Symptoms: urine leakage with physical activity </w:t>
      </w:r>
      <w:r w:rsidRPr="00042B60">
        <w:rPr>
          <w:rFonts w:ascii="Arial" w:hAnsi="Arial"/>
        </w:rPr>
        <w:sym w:font="Wingdings" w:char="F0E0"/>
      </w:r>
      <w:r>
        <w:rPr>
          <w:rFonts w:ascii="Arial" w:hAnsi="Arial"/>
        </w:rPr>
        <w:t xml:space="preserve"> no nocturia</w:t>
      </w:r>
    </w:p>
    <w:p w14:paraId="1009B1F5" w14:textId="77777777" w:rsidR="00EB1BDF" w:rsidRDefault="00042B60" w:rsidP="00042B60">
      <w:pPr>
        <w:pStyle w:val="ListParagraph"/>
        <w:numPr>
          <w:ilvl w:val="0"/>
          <w:numId w:val="10"/>
        </w:numPr>
        <w:spacing w:line="360" w:lineRule="auto"/>
        <w:rPr>
          <w:rFonts w:ascii="Arial" w:hAnsi="Arial"/>
        </w:rPr>
      </w:pPr>
      <w:r>
        <w:rPr>
          <w:rFonts w:ascii="Arial" w:hAnsi="Arial"/>
        </w:rPr>
        <w:t>Diagnosis: observation of urethral meatus while patient coughs or strains.</w:t>
      </w:r>
    </w:p>
    <w:p w14:paraId="5EFCB801" w14:textId="77777777" w:rsidR="00042B60" w:rsidRDefault="00042B60" w:rsidP="00EB1BDF">
      <w:pPr>
        <w:pStyle w:val="ListParagraph"/>
        <w:numPr>
          <w:ilvl w:val="0"/>
          <w:numId w:val="9"/>
        </w:numPr>
        <w:spacing w:line="360" w:lineRule="auto"/>
        <w:rPr>
          <w:rFonts w:ascii="Arial" w:hAnsi="Arial"/>
        </w:rPr>
      </w:pPr>
      <w:r>
        <w:rPr>
          <w:rFonts w:ascii="Arial" w:hAnsi="Arial"/>
        </w:rPr>
        <w:t>Bladder Overactivity:</w:t>
      </w:r>
    </w:p>
    <w:p w14:paraId="202BDA74" w14:textId="77777777" w:rsidR="00042B60" w:rsidRDefault="00042B60" w:rsidP="00042B60">
      <w:pPr>
        <w:pStyle w:val="ListParagraph"/>
        <w:numPr>
          <w:ilvl w:val="0"/>
          <w:numId w:val="11"/>
        </w:numPr>
        <w:spacing w:line="360" w:lineRule="auto"/>
        <w:rPr>
          <w:rFonts w:ascii="Arial" w:hAnsi="Arial"/>
        </w:rPr>
      </w:pPr>
      <w:r>
        <w:rPr>
          <w:rFonts w:ascii="Arial" w:hAnsi="Arial"/>
        </w:rPr>
        <w:t>Symptoms: urinary frequency, w/wo urgency, nocturia and enuresis</w:t>
      </w:r>
    </w:p>
    <w:p w14:paraId="4D6850AF" w14:textId="77777777" w:rsidR="00042B60" w:rsidRPr="00042B60" w:rsidRDefault="00042B60" w:rsidP="00042B60">
      <w:pPr>
        <w:pStyle w:val="ListParagraph"/>
        <w:numPr>
          <w:ilvl w:val="0"/>
          <w:numId w:val="11"/>
        </w:numPr>
        <w:spacing w:line="360" w:lineRule="auto"/>
        <w:rPr>
          <w:rFonts w:ascii="Arial" w:hAnsi="Arial"/>
        </w:rPr>
      </w:pPr>
      <w:r>
        <w:rPr>
          <w:rFonts w:ascii="Arial" w:hAnsi="Arial"/>
        </w:rPr>
        <w:t xml:space="preserve">Diagnosis: urodynamic studies are the gold standard (urinalysis and urine culture should be negative </w:t>
      </w:r>
      <w:r w:rsidRPr="00042B60">
        <w:rPr>
          <w:rFonts w:ascii="Arial" w:hAnsi="Arial"/>
        </w:rPr>
        <w:sym w:font="Wingdings" w:char="F0E0"/>
      </w:r>
      <w:r>
        <w:rPr>
          <w:rFonts w:ascii="Arial" w:hAnsi="Arial"/>
        </w:rPr>
        <w:t xml:space="preserve"> rule out UTI as the casue of frequency)</w:t>
      </w:r>
    </w:p>
    <w:p w14:paraId="35EC1A6C" w14:textId="77777777" w:rsidR="0029432F" w:rsidRDefault="00042B60" w:rsidP="00EB1BDF">
      <w:pPr>
        <w:pStyle w:val="ListParagraph"/>
        <w:numPr>
          <w:ilvl w:val="0"/>
          <w:numId w:val="9"/>
        </w:numPr>
        <w:spacing w:line="360" w:lineRule="auto"/>
        <w:rPr>
          <w:rFonts w:ascii="Arial" w:hAnsi="Arial"/>
        </w:rPr>
      </w:pPr>
      <w:r>
        <w:rPr>
          <w:rFonts w:ascii="Arial" w:hAnsi="Arial"/>
        </w:rPr>
        <w:t xml:space="preserve">Urethral Overactivty and/ or Bladder Underactivity </w:t>
      </w:r>
    </w:p>
    <w:p w14:paraId="3DBE7AB3" w14:textId="77777777" w:rsidR="0029432F" w:rsidRDefault="0029432F" w:rsidP="0029432F">
      <w:pPr>
        <w:pStyle w:val="ListParagraph"/>
        <w:numPr>
          <w:ilvl w:val="0"/>
          <w:numId w:val="12"/>
        </w:numPr>
        <w:spacing w:line="360" w:lineRule="auto"/>
        <w:rPr>
          <w:rFonts w:ascii="Arial" w:hAnsi="Arial"/>
        </w:rPr>
      </w:pPr>
      <w:r>
        <w:rPr>
          <w:rFonts w:ascii="Arial" w:hAnsi="Arial"/>
        </w:rPr>
        <w:t>Important but rare</w:t>
      </w:r>
    </w:p>
    <w:p w14:paraId="4F75FA38" w14:textId="77777777" w:rsidR="0029432F" w:rsidRDefault="0029432F" w:rsidP="0029432F">
      <w:pPr>
        <w:pStyle w:val="ListParagraph"/>
        <w:numPr>
          <w:ilvl w:val="0"/>
          <w:numId w:val="12"/>
        </w:numPr>
        <w:spacing w:line="360" w:lineRule="auto"/>
        <w:rPr>
          <w:rFonts w:ascii="Arial" w:hAnsi="Arial"/>
        </w:rPr>
      </w:pPr>
      <w:r>
        <w:rPr>
          <w:rFonts w:ascii="Arial" w:hAnsi="Arial"/>
        </w:rPr>
        <w:t>Symptoms: lower abdominal fullness, hesistancy, and sense of incomplete bladder emptying.</w:t>
      </w:r>
    </w:p>
    <w:p w14:paraId="7C0D2456" w14:textId="77777777" w:rsidR="0029432F" w:rsidRDefault="0029432F" w:rsidP="0029432F">
      <w:pPr>
        <w:pStyle w:val="ListParagraph"/>
        <w:numPr>
          <w:ilvl w:val="0"/>
          <w:numId w:val="12"/>
        </w:numPr>
        <w:spacing w:line="360" w:lineRule="auto"/>
        <w:rPr>
          <w:rFonts w:ascii="Arial" w:hAnsi="Arial"/>
        </w:rPr>
      </w:pPr>
      <w:r>
        <w:rPr>
          <w:rFonts w:ascii="Arial" w:hAnsi="Arial"/>
        </w:rPr>
        <w:t>Signs: increased postvoid residual urine volume</w:t>
      </w:r>
    </w:p>
    <w:p w14:paraId="1F37E9F6" w14:textId="77777777" w:rsidR="00872F3B" w:rsidRPr="00936F39" w:rsidRDefault="0029432F" w:rsidP="00936F39">
      <w:pPr>
        <w:pStyle w:val="ListParagraph"/>
        <w:numPr>
          <w:ilvl w:val="0"/>
          <w:numId w:val="12"/>
        </w:numPr>
        <w:spacing w:line="360" w:lineRule="auto"/>
        <w:rPr>
          <w:rFonts w:ascii="Arial" w:hAnsi="Arial"/>
        </w:rPr>
      </w:pPr>
      <w:r>
        <w:rPr>
          <w:rFonts w:ascii="Arial" w:hAnsi="Arial"/>
        </w:rPr>
        <w:t xml:space="preserve">Diagnosis: digital rectal exam or transrectal ultrasound </w:t>
      </w:r>
      <w:r w:rsidRPr="0029432F">
        <w:rPr>
          <w:rFonts w:ascii="Arial" w:hAnsi="Arial"/>
        </w:rPr>
        <w:sym w:font="Wingdings" w:char="F0E0"/>
      </w:r>
      <w:r>
        <w:rPr>
          <w:rFonts w:ascii="Arial" w:hAnsi="Arial"/>
        </w:rPr>
        <w:t xml:space="preserve"> rule out prostatic enlargement, and renal function est </w:t>
      </w:r>
      <w:r w:rsidRPr="0029432F">
        <w:rPr>
          <w:rFonts w:ascii="Arial" w:hAnsi="Arial"/>
        </w:rPr>
        <w:sym w:font="Wingdings" w:char="F0E0"/>
      </w:r>
      <w:r>
        <w:rPr>
          <w:rFonts w:ascii="Arial" w:hAnsi="Arial"/>
        </w:rPr>
        <w:t xml:space="preserve"> rule out renal failure.</w:t>
      </w:r>
    </w:p>
    <w:p w14:paraId="3F173971" w14:textId="77777777" w:rsidR="00760981" w:rsidRPr="00760981" w:rsidRDefault="00936F39" w:rsidP="00760981">
      <w:pPr>
        <w:pStyle w:val="ListParagraph"/>
        <w:numPr>
          <w:ilvl w:val="0"/>
          <w:numId w:val="1"/>
        </w:numPr>
        <w:spacing w:line="360" w:lineRule="auto"/>
        <w:rPr>
          <w:rFonts w:ascii="Arial" w:hAnsi="Arial"/>
        </w:rPr>
      </w:pPr>
      <w:r w:rsidRPr="00760981">
        <w:rPr>
          <w:rFonts w:ascii="Arial" w:hAnsi="Arial"/>
        </w:rPr>
        <w:t>Nonpharmacologic treatment</w:t>
      </w:r>
      <w:r w:rsidR="00760981" w:rsidRPr="00760981">
        <w:rPr>
          <w:rFonts w:ascii="Arial" w:hAnsi="Arial"/>
        </w:rPr>
        <w:t xml:space="preserve">: </w:t>
      </w:r>
      <w:r w:rsidR="00760981" w:rsidRPr="009D0110">
        <w:rPr>
          <w:rFonts w:ascii="Arial" w:hAnsi="Arial"/>
          <w:color w:val="FF0000"/>
        </w:rPr>
        <w:t>1</w:t>
      </w:r>
      <w:r w:rsidR="00760981" w:rsidRPr="009D0110">
        <w:rPr>
          <w:rFonts w:ascii="Arial" w:hAnsi="Arial"/>
          <w:color w:val="FF0000"/>
          <w:vertAlign w:val="superscript"/>
        </w:rPr>
        <w:t>st</w:t>
      </w:r>
      <w:r w:rsidR="00760981" w:rsidRPr="009D0110">
        <w:rPr>
          <w:rFonts w:ascii="Arial" w:hAnsi="Arial"/>
          <w:color w:val="FF0000"/>
        </w:rPr>
        <w:t xml:space="preserve"> line</w:t>
      </w:r>
      <w:r w:rsidR="00760981" w:rsidRPr="00760981">
        <w:rPr>
          <w:rFonts w:ascii="Arial" w:hAnsi="Arial"/>
        </w:rPr>
        <w:t xml:space="preserve"> </w:t>
      </w:r>
    </w:p>
    <w:p w14:paraId="79036AEE" w14:textId="77777777" w:rsidR="00760981" w:rsidRDefault="00760981" w:rsidP="00760981">
      <w:pPr>
        <w:pStyle w:val="ListParagraph"/>
        <w:numPr>
          <w:ilvl w:val="0"/>
          <w:numId w:val="14"/>
        </w:numPr>
        <w:spacing w:line="360" w:lineRule="auto"/>
        <w:rPr>
          <w:rFonts w:ascii="Arial" w:hAnsi="Arial"/>
        </w:rPr>
      </w:pPr>
      <w:r>
        <w:rPr>
          <w:rFonts w:ascii="Arial" w:hAnsi="Arial"/>
        </w:rPr>
        <w:t>Table 94-3: Lifestyle modifications, scheduling regimens, pelvic floor muscle rehabilitation, anticontinence devices and supportive interventions.</w:t>
      </w:r>
    </w:p>
    <w:p w14:paraId="132A2639" w14:textId="77777777" w:rsidR="00760981" w:rsidRDefault="00760981" w:rsidP="00760981">
      <w:pPr>
        <w:pStyle w:val="ListParagraph"/>
        <w:numPr>
          <w:ilvl w:val="0"/>
          <w:numId w:val="14"/>
        </w:numPr>
        <w:spacing w:line="360" w:lineRule="auto"/>
        <w:rPr>
          <w:rFonts w:ascii="Arial" w:hAnsi="Arial"/>
        </w:rPr>
      </w:pPr>
      <w:r>
        <w:rPr>
          <w:rFonts w:ascii="Arial" w:hAnsi="Arial"/>
        </w:rPr>
        <w:t>Behavioral interventions are the 1</w:t>
      </w:r>
      <w:r w:rsidRPr="00760981">
        <w:rPr>
          <w:rFonts w:ascii="Arial" w:hAnsi="Arial"/>
          <w:vertAlign w:val="superscript"/>
        </w:rPr>
        <w:t>st</w:t>
      </w:r>
      <w:r>
        <w:rPr>
          <w:rFonts w:ascii="Arial" w:hAnsi="Arial"/>
        </w:rPr>
        <w:t xml:space="preserve"> line of treatment for SUI, UUI, and mixed UI.</w:t>
      </w:r>
    </w:p>
    <w:p w14:paraId="530912A0" w14:textId="77777777" w:rsidR="00936F39" w:rsidRPr="00760981" w:rsidRDefault="00760981" w:rsidP="00760981">
      <w:pPr>
        <w:pStyle w:val="ListParagraph"/>
        <w:numPr>
          <w:ilvl w:val="0"/>
          <w:numId w:val="14"/>
        </w:numPr>
        <w:spacing w:line="360" w:lineRule="auto"/>
        <w:rPr>
          <w:rFonts w:ascii="Arial" w:hAnsi="Arial"/>
        </w:rPr>
      </w:pPr>
      <w:r>
        <w:rPr>
          <w:rFonts w:ascii="Arial" w:hAnsi="Arial"/>
        </w:rPr>
        <w:t>Regular follow-up is needed to help motivate patients and caregivers, provide reassurance and support, and monitor treatment outcomes.</w:t>
      </w:r>
    </w:p>
    <w:p w14:paraId="1E1C6DA0" w14:textId="77777777" w:rsidR="00936F39" w:rsidRDefault="00936F39" w:rsidP="00936F39">
      <w:pPr>
        <w:pStyle w:val="ListParagraph"/>
        <w:spacing w:line="360" w:lineRule="auto"/>
        <w:ind w:left="1080"/>
        <w:rPr>
          <w:rFonts w:ascii="Arial" w:hAnsi="Arial"/>
        </w:rPr>
      </w:pPr>
    </w:p>
    <w:p w14:paraId="43A66360" w14:textId="77777777" w:rsidR="00760981" w:rsidRDefault="00760981" w:rsidP="00760981">
      <w:pPr>
        <w:pStyle w:val="ListParagraph"/>
        <w:numPr>
          <w:ilvl w:val="0"/>
          <w:numId w:val="1"/>
        </w:numPr>
        <w:spacing w:line="360" w:lineRule="auto"/>
        <w:rPr>
          <w:rFonts w:ascii="Arial" w:hAnsi="Arial"/>
        </w:rPr>
      </w:pPr>
      <w:r w:rsidRPr="00760981">
        <w:rPr>
          <w:rFonts w:ascii="Arial" w:hAnsi="Arial"/>
        </w:rPr>
        <w:t>Pharmacologic treatment</w:t>
      </w:r>
      <w:r>
        <w:rPr>
          <w:rFonts w:ascii="Arial" w:hAnsi="Arial"/>
        </w:rPr>
        <w:t>:</w:t>
      </w:r>
    </w:p>
    <w:p w14:paraId="613F21F4" w14:textId="77777777" w:rsidR="00760981" w:rsidRDefault="00760981" w:rsidP="00760981">
      <w:pPr>
        <w:pStyle w:val="ListParagraph"/>
        <w:numPr>
          <w:ilvl w:val="0"/>
          <w:numId w:val="15"/>
        </w:numPr>
        <w:spacing w:line="360" w:lineRule="auto"/>
        <w:rPr>
          <w:rFonts w:ascii="Arial" w:hAnsi="Arial"/>
        </w:rPr>
      </w:pPr>
      <w:r>
        <w:rPr>
          <w:rFonts w:ascii="Arial" w:hAnsi="Arial"/>
        </w:rPr>
        <w:t>Urge urinary incontinence</w:t>
      </w:r>
      <w:r w:rsidR="001930D1">
        <w:rPr>
          <w:rFonts w:ascii="Arial" w:hAnsi="Arial"/>
        </w:rPr>
        <w:t>: anticholinergic/antispasmodic drugs are 1</w:t>
      </w:r>
      <w:r w:rsidR="001930D1" w:rsidRPr="001930D1">
        <w:rPr>
          <w:rFonts w:ascii="Arial" w:hAnsi="Arial"/>
          <w:vertAlign w:val="superscript"/>
        </w:rPr>
        <w:t>st</w:t>
      </w:r>
      <w:r w:rsidR="001930D1">
        <w:rPr>
          <w:rFonts w:ascii="Arial" w:hAnsi="Arial"/>
        </w:rPr>
        <w:t xml:space="preserve"> line</w:t>
      </w:r>
    </w:p>
    <w:p w14:paraId="4E0683CD" w14:textId="77777777" w:rsidR="001930D1" w:rsidRDefault="001930D1" w:rsidP="00760981">
      <w:pPr>
        <w:pStyle w:val="ListParagraph"/>
        <w:numPr>
          <w:ilvl w:val="0"/>
          <w:numId w:val="16"/>
        </w:numPr>
        <w:spacing w:line="360" w:lineRule="auto"/>
        <w:rPr>
          <w:rFonts w:ascii="Arial" w:hAnsi="Arial"/>
        </w:rPr>
      </w:pPr>
      <w:r>
        <w:rPr>
          <w:rFonts w:ascii="Arial" w:hAnsi="Arial"/>
        </w:rPr>
        <w:t>MOA: suppressing premature detrusor contractions, enhancing bladder storage, and relieving UUI symptoms</w:t>
      </w:r>
    </w:p>
    <w:p w14:paraId="6AFB3A78" w14:textId="77777777" w:rsidR="001930D1" w:rsidRDefault="001930D1" w:rsidP="00760981">
      <w:pPr>
        <w:pStyle w:val="ListParagraph"/>
        <w:numPr>
          <w:ilvl w:val="0"/>
          <w:numId w:val="16"/>
        </w:numPr>
        <w:spacing w:line="360" w:lineRule="auto"/>
        <w:rPr>
          <w:rFonts w:ascii="Arial" w:hAnsi="Arial"/>
        </w:rPr>
      </w:pPr>
      <w:r>
        <w:rPr>
          <w:rFonts w:ascii="Arial" w:hAnsi="Arial"/>
        </w:rPr>
        <w:t>Anticholinergic drugs have been demonstrated to improve quality of life, with no significant differences between agents.</w:t>
      </w:r>
    </w:p>
    <w:p w14:paraId="42FEF61E" w14:textId="77777777" w:rsidR="001930D1" w:rsidRDefault="001930D1" w:rsidP="00760981">
      <w:pPr>
        <w:pStyle w:val="ListParagraph"/>
        <w:numPr>
          <w:ilvl w:val="0"/>
          <w:numId w:val="16"/>
        </w:numPr>
        <w:spacing w:line="360" w:lineRule="auto"/>
        <w:rPr>
          <w:rFonts w:ascii="Arial" w:hAnsi="Arial"/>
        </w:rPr>
      </w:pPr>
      <w:r>
        <w:rPr>
          <w:rFonts w:ascii="Arial" w:hAnsi="Arial"/>
        </w:rPr>
        <w:t>Women with mixed UI or UUI plus urethritis or vaginitis may benefit from a topical estrogen alone or combo with an anticholinergic drugs</w:t>
      </w:r>
    </w:p>
    <w:p w14:paraId="4A34C5B9" w14:textId="77777777" w:rsidR="001930D1" w:rsidRDefault="001930D1" w:rsidP="00760981">
      <w:pPr>
        <w:pStyle w:val="ListParagraph"/>
        <w:numPr>
          <w:ilvl w:val="0"/>
          <w:numId w:val="16"/>
        </w:numPr>
        <w:spacing w:line="360" w:lineRule="auto"/>
        <w:rPr>
          <w:rFonts w:ascii="Arial" w:hAnsi="Arial"/>
        </w:rPr>
      </w:pPr>
      <w:r>
        <w:rPr>
          <w:rFonts w:ascii="Arial" w:hAnsi="Arial"/>
        </w:rPr>
        <w:t>Patients with irritative symptoms of BPH that persist despite specific BPH treatment may benefit from anticholinergic therapy as well because these agents may precipitate acute urinary retention.</w:t>
      </w:r>
    </w:p>
    <w:p w14:paraId="65922877" w14:textId="77777777" w:rsidR="000A6A7B" w:rsidRPr="00F14228" w:rsidRDefault="000A6A7B" w:rsidP="00760981">
      <w:pPr>
        <w:pStyle w:val="ListParagraph"/>
        <w:numPr>
          <w:ilvl w:val="0"/>
          <w:numId w:val="16"/>
        </w:numPr>
        <w:spacing w:line="360" w:lineRule="auto"/>
        <w:rPr>
          <w:rFonts w:ascii="Arial" w:hAnsi="Arial"/>
          <w:color w:val="FF0000"/>
        </w:rPr>
      </w:pPr>
      <w:r>
        <w:rPr>
          <w:rFonts w:ascii="Arial" w:hAnsi="Arial"/>
        </w:rPr>
        <w:t xml:space="preserve">Oxybutynin IR: </w:t>
      </w:r>
      <w:r w:rsidR="00F14228" w:rsidRPr="00F14228">
        <w:rPr>
          <w:rFonts w:ascii="Arial" w:hAnsi="Arial"/>
          <w:color w:val="FF0000"/>
        </w:rPr>
        <w:t>1</w:t>
      </w:r>
      <w:r w:rsidR="00F14228" w:rsidRPr="00F14228">
        <w:rPr>
          <w:rFonts w:ascii="Arial" w:hAnsi="Arial"/>
          <w:color w:val="FF0000"/>
          <w:vertAlign w:val="superscript"/>
        </w:rPr>
        <w:t>st</w:t>
      </w:r>
      <w:r w:rsidR="00F14228" w:rsidRPr="00F14228">
        <w:rPr>
          <w:rFonts w:ascii="Arial" w:hAnsi="Arial"/>
          <w:color w:val="FF0000"/>
        </w:rPr>
        <w:t xml:space="preserve"> line and gold standard</w:t>
      </w:r>
    </w:p>
    <w:p w14:paraId="33274A67" w14:textId="77777777" w:rsidR="00E944CB" w:rsidRDefault="000A6A7B" w:rsidP="00E944CB">
      <w:pPr>
        <w:pStyle w:val="ListParagraph"/>
        <w:numPr>
          <w:ilvl w:val="1"/>
          <w:numId w:val="16"/>
        </w:numPr>
        <w:spacing w:line="360" w:lineRule="auto"/>
        <w:rPr>
          <w:rFonts w:ascii="Arial" w:hAnsi="Arial"/>
        </w:rPr>
      </w:pPr>
      <w:r w:rsidRPr="00E944CB">
        <w:rPr>
          <w:rFonts w:ascii="Arial" w:hAnsi="Arial"/>
        </w:rPr>
        <w:t>H</w:t>
      </w:r>
      <w:r w:rsidR="0052658E" w:rsidRPr="00E944CB">
        <w:rPr>
          <w:rFonts w:ascii="Arial" w:hAnsi="Arial"/>
        </w:rPr>
        <w:t>i</w:t>
      </w:r>
      <w:r w:rsidRPr="00E944CB">
        <w:rPr>
          <w:rFonts w:ascii="Arial" w:hAnsi="Arial"/>
        </w:rPr>
        <w:t xml:space="preserve">gh incidence of adverse effects especially dry mouth due to the </w:t>
      </w:r>
      <w:r w:rsidRPr="007C4AC5">
        <w:rPr>
          <w:rFonts w:ascii="Arial" w:hAnsi="Arial"/>
          <w:color w:val="FF0000"/>
        </w:rPr>
        <w:t>active metabolit</w:t>
      </w:r>
      <w:r w:rsidR="0052658E" w:rsidRPr="007C4AC5">
        <w:rPr>
          <w:rFonts w:ascii="Arial" w:hAnsi="Arial"/>
          <w:color w:val="FF0000"/>
        </w:rPr>
        <w:t>e</w:t>
      </w:r>
      <w:r w:rsidRPr="007C4AC5">
        <w:rPr>
          <w:rFonts w:ascii="Arial" w:hAnsi="Arial"/>
          <w:color w:val="FF0000"/>
        </w:rPr>
        <w:t xml:space="preserve"> N-desethyloxybutynin</w:t>
      </w:r>
      <w:r w:rsidRPr="00E944CB">
        <w:rPr>
          <w:rFonts w:ascii="Arial" w:hAnsi="Arial"/>
        </w:rPr>
        <w:t xml:space="preserve"> generated during first pass metabolism.</w:t>
      </w:r>
    </w:p>
    <w:p w14:paraId="055E1DD9" w14:textId="77777777" w:rsidR="00E944CB" w:rsidRDefault="000A6A7B" w:rsidP="00E944CB">
      <w:pPr>
        <w:pStyle w:val="ListParagraph"/>
        <w:numPr>
          <w:ilvl w:val="1"/>
          <w:numId w:val="16"/>
        </w:numPr>
        <w:spacing w:line="360" w:lineRule="auto"/>
        <w:rPr>
          <w:rFonts w:ascii="Arial" w:hAnsi="Arial"/>
        </w:rPr>
      </w:pPr>
      <w:r w:rsidRPr="00E944CB">
        <w:rPr>
          <w:rFonts w:ascii="Arial" w:hAnsi="Arial"/>
        </w:rPr>
        <w:t>Transient high peak of oxybutynin serum plasma concentration especially in elderly</w:t>
      </w:r>
    </w:p>
    <w:p w14:paraId="06ABCBCD" w14:textId="77777777" w:rsidR="000A6A7B" w:rsidRPr="00E944CB" w:rsidRDefault="000A6A7B" w:rsidP="000A6A7B">
      <w:pPr>
        <w:pStyle w:val="ListParagraph"/>
        <w:numPr>
          <w:ilvl w:val="1"/>
          <w:numId w:val="16"/>
        </w:numPr>
        <w:spacing w:line="360" w:lineRule="auto"/>
        <w:rPr>
          <w:rFonts w:ascii="Arial" w:hAnsi="Arial"/>
        </w:rPr>
      </w:pPr>
      <w:r w:rsidRPr="00E944CB">
        <w:rPr>
          <w:rFonts w:ascii="Arial" w:hAnsi="Arial"/>
        </w:rPr>
        <w:t xml:space="preserve">It is best tolerated when dose is gradually increased from no more than 2.5 mg </w:t>
      </w:r>
      <w:r w:rsidR="00821590" w:rsidRPr="00E944CB">
        <w:rPr>
          <w:rFonts w:ascii="Arial" w:hAnsi="Arial"/>
        </w:rPr>
        <w:t xml:space="preserve">BID to start to 2.5 mg TID after 1 month and increased in increments of 2.5 mg/day every 1 to 2 months.             </w:t>
      </w:r>
    </w:p>
    <w:p w14:paraId="07B63345" w14:textId="77777777" w:rsidR="00E944CB" w:rsidRDefault="00821590" w:rsidP="00760981">
      <w:pPr>
        <w:pStyle w:val="ListParagraph"/>
        <w:numPr>
          <w:ilvl w:val="0"/>
          <w:numId w:val="16"/>
        </w:numPr>
        <w:spacing w:line="360" w:lineRule="auto"/>
        <w:rPr>
          <w:rFonts w:ascii="Arial" w:hAnsi="Arial"/>
        </w:rPr>
      </w:pPr>
      <w:r>
        <w:rPr>
          <w:rFonts w:ascii="Arial" w:hAnsi="Arial"/>
        </w:rPr>
        <w:t xml:space="preserve">Oxybutynin ER: </w:t>
      </w:r>
    </w:p>
    <w:p w14:paraId="73D98F97" w14:textId="77777777" w:rsidR="00E944CB" w:rsidRDefault="00821590" w:rsidP="00E944CB">
      <w:pPr>
        <w:pStyle w:val="ListParagraph"/>
        <w:numPr>
          <w:ilvl w:val="1"/>
          <w:numId w:val="16"/>
        </w:numPr>
        <w:spacing w:line="360" w:lineRule="auto"/>
        <w:rPr>
          <w:rFonts w:ascii="Arial" w:hAnsi="Arial"/>
        </w:rPr>
      </w:pPr>
      <w:r w:rsidRPr="00E944CB">
        <w:rPr>
          <w:rFonts w:ascii="Arial" w:hAnsi="Arial"/>
        </w:rPr>
        <w:t>5-30 mg daily: use the lowest dose initially</w:t>
      </w:r>
    </w:p>
    <w:p w14:paraId="7C669687" w14:textId="77777777" w:rsidR="00821590" w:rsidRPr="00E944CB" w:rsidRDefault="00821590" w:rsidP="00E944CB">
      <w:pPr>
        <w:pStyle w:val="ListParagraph"/>
        <w:numPr>
          <w:ilvl w:val="1"/>
          <w:numId w:val="16"/>
        </w:numPr>
        <w:spacing w:line="360" w:lineRule="auto"/>
        <w:rPr>
          <w:rFonts w:ascii="Arial" w:hAnsi="Arial"/>
        </w:rPr>
      </w:pPr>
      <w:r w:rsidRPr="00E944CB">
        <w:rPr>
          <w:rFonts w:ascii="Arial" w:hAnsi="Arial"/>
        </w:rPr>
        <w:t xml:space="preserve">It takes up to 4 weeks to see benefit or after escalation of dosing  </w:t>
      </w:r>
    </w:p>
    <w:p w14:paraId="06A9B0DB" w14:textId="77777777" w:rsidR="00742481" w:rsidRDefault="00821590" w:rsidP="00742481">
      <w:pPr>
        <w:pStyle w:val="ListParagraph"/>
        <w:numPr>
          <w:ilvl w:val="0"/>
          <w:numId w:val="16"/>
        </w:numPr>
        <w:spacing w:line="360" w:lineRule="auto"/>
        <w:rPr>
          <w:rFonts w:ascii="Arial" w:hAnsi="Arial"/>
        </w:rPr>
      </w:pPr>
      <w:r>
        <w:rPr>
          <w:rFonts w:ascii="Arial" w:hAnsi="Arial"/>
        </w:rPr>
        <w:t>ER transdermal Oxybutynin</w:t>
      </w:r>
      <w:r w:rsidR="00F60D41">
        <w:rPr>
          <w:rFonts w:ascii="Arial" w:hAnsi="Arial"/>
        </w:rPr>
        <w:t>:</w:t>
      </w:r>
    </w:p>
    <w:p w14:paraId="36F2861E" w14:textId="77777777" w:rsidR="00F14228" w:rsidRPr="00742481" w:rsidRDefault="00E944CB" w:rsidP="00742481">
      <w:pPr>
        <w:pStyle w:val="ListParagraph"/>
        <w:numPr>
          <w:ilvl w:val="1"/>
          <w:numId w:val="16"/>
        </w:numPr>
        <w:spacing w:line="360" w:lineRule="auto"/>
        <w:rPr>
          <w:rFonts w:ascii="Arial" w:hAnsi="Arial"/>
        </w:rPr>
      </w:pPr>
      <w:r w:rsidRPr="00742481">
        <w:rPr>
          <w:rFonts w:ascii="Arial" w:hAnsi="Arial"/>
        </w:rPr>
        <w:t>3.9 mg/day twice weekly</w:t>
      </w:r>
      <w:r w:rsidR="00F14228" w:rsidRPr="00742481">
        <w:rPr>
          <w:rFonts w:ascii="Arial" w:hAnsi="Arial"/>
        </w:rPr>
        <w:t>.</w:t>
      </w:r>
    </w:p>
    <w:p w14:paraId="11100E75" w14:textId="77777777" w:rsidR="00821590" w:rsidRPr="00F14228" w:rsidRDefault="00F14228" w:rsidP="00F14228">
      <w:pPr>
        <w:pStyle w:val="ListParagraph"/>
        <w:numPr>
          <w:ilvl w:val="0"/>
          <w:numId w:val="19"/>
        </w:numPr>
        <w:spacing w:line="360" w:lineRule="auto"/>
        <w:rPr>
          <w:rFonts w:ascii="Arial" w:hAnsi="Arial"/>
        </w:rPr>
      </w:pPr>
      <w:r>
        <w:rPr>
          <w:rFonts w:ascii="Arial" w:hAnsi="Arial"/>
        </w:rPr>
        <w:t>P</w:t>
      </w:r>
      <w:r w:rsidR="00E944CB" w:rsidRPr="00F14228">
        <w:rPr>
          <w:rFonts w:ascii="Arial" w:hAnsi="Arial"/>
        </w:rPr>
        <w:t>rutitis and erythema</w:t>
      </w:r>
      <w:r>
        <w:rPr>
          <w:rFonts w:ascii="Arial" w:hAnsi="Arial"/>
        </w:rPr>
        <w:t xml:space="preserve"> at application site</w:t>
      </w:r>
      <w:r w:rsidR="0052658E" w:rsidRPr="00F14228">
        <w:rPr>
          <w:rFonts w:ascii="Arial" w:hAnsi="Arial"/>
        </w:rPr>
        <w:t xml:space="preserve">    </w:t>
      </w:r>
    </w:p>
    <w:p w14:paraId="30076503" w14:textId="77777777" w:rsidR="00742481" w:rsidRDefault="00821590" w:rsidP="00742481">
      <w:pPr>
        <w:pStyle w:val="ListParagraph"/>
        <w:numPr>
          <w:ilvl w:val="0"/>
          <w:numId w:val="16"/>
        </w:numPr>
        <w:spacing w:line="360" w:lineRule="auto"/>
        <w:rPr>
          <w:rFonts w:ascii="Arial" w:hAnsi="Arial"/>
        </w:rPr>
      </w:pPr>
      <w:r>
        <w:rPr>
          <w:rFonts w:ascii="Arial" w:hAnsi="Arial"/>
        </w:rPr>
        <w:t>Oxybutynin gel</w:t>
      </w:r>
      <w:r w:rsidR="00742481">
        <w:rPr>
          <w:rFonts w:ascii="Arial" w:hAnsi="Arial"/>
        </w:rPr>
        <w:t>:</w:t>
      </w:r>
    </w:p>
    <w:p w14:paraId="26BAFB02" w14:textId="77777777" w:rsidR="00742481" w:rsidRDefault="00F14228" w:rsidP="00742481">
      <w:pPr>
        <w:pStyle w:val="ListParagraph"/>
        <w:numPr>
          <w:ilvl w:val="1"/>
          <w:numId w:val="16"/>
        </w:numPr>
        <w:spacing w:line="360" w:lineRule="auto"/>
        <w:rPr>
          <w:rFonts w:ascii="Arial" w:hAnsi="Arial"/>
        </w:rPr>
      </w:pPr>
      <w:r w:rsidRPr="00742481">
        <w:rPr>
          <w:rFonts w:ascii="Arial" w:hAnsi="Arial"/>
        </w:rPr>
        <w:t>Applied once daily (delivers 4 mg/day)</w:t>
      </w:r>
    </w:p>
    <w:p w14:paraId="6E3C4A2D" w14:textId="77777777" w:rsidR="00742481" w:rsidRDefault="00E944CB" w:rsidP="00742481">
      <w:pPr>
        <w:pStyle w:val="ListParagraph"/>
        <w:numPr>
          <w:ilvl w:val="1"/>
          <w:numId w:val="16"/>
        </w:numPr>
        <w:spacing w:line="360" w:lineRule="auto"/>
        <w:rPr>
          <w:rFonts w:ascii="Arial" w:hAnsi="Arial"/>
        </w:rPr>
      </w:pPr>
      <w:r w:rsidRPr="00742481">
        <w:rPr>
          <w:rFonts w:ascii="Arial" w:hAnsi="Arial"/>
        </w:rPr>
        <w:t>Application o</w:t>
      </w:r>
      <w:r w:rsidR="00A7000B" w:rsidRPr="00742481">
        <w:rPr>
          <w:rFonts w:ascii="Arial" w:hAnsi="Arial"/>
        </w:rPr>
        <w:t>f sunscreen</w:t>
      </w:r>
      <w:r w:rsidRPr="00742481">
        <w:rPr>
          <w:rFonts w:ascii="Arial" w:hAnsi="Arial"/>
        </w:rPr>
        <w:t xml:space="preserve"> 0.5 hours before or after application of the gel or showering 1 hr does not affect BA.</w:t>
      </w:r>
    </w:p>
    <w:p w14:paraId="19F68102" w14:textId="77777777" w:rsidR="00821590" w:rsidRPr="00742481" w:rsidRDefault="00F14228" w:rsidP="00742481">
      <w:pPr>
        <w:pStyle w:val="ListParagraph"/>
        <w:numPr>
          <w:ilvl w:val="1"/>
          <w:numId w:val="16"/>
        </w:numPr>
        <w:spacing w:line="360" w:lineRule="auto"/>
        <w:rPr>
          <w:rFonts w:ascii="Arial" w:hAnsi="Arial"/>
        </w:rPr>
      </w:pPr>
      <w:r w:rsidRPr="00742481">
        <w:rPr>
          <w:rFonts w:ascii="Arial" w:hAnsi="Arial"/>
        </w:rPr>
        <w:t>Prutitis, erythema, dermatitis and site reactions at application site</w:t>
      </w:r>
    </w:p>
    <w:p w14:paraId="20BFE97E" w14:textId="77777777" w:rsidR="00821590" w:rsidRPr="00F14228" w:rsidRDefault="00821590" w:rsidP="00F14228">
      <w:pPr>
        <w:pStyle w:val="ListParagraph"/>
        <w:numPr>
          <w:ilvl w:val="0"/>
          <w:numId w:val="16"/>
        </w:numPr>
        <w:spacing w:line="360" w:lineRule="auto"/>
        <w:rPr>
          <w:rFonts w:ascii="Arial" w:hAnsi="Arial"/>
        </w:rPr>
      </w:pPr>
      <w:r>
        <w:rPr>
          <w:rFonts w:ascii="Arial" w:hAnsi="Arial"/>
        </w:rPr>
        <w:t>Tolterodine IR</w:t>
      </w:r>
      <w:r w:rsidR="009D0110">
        <w:rPr>
          <w:rFonts w:ascii="Arial" w:hAnsi="Arial"/>
        </w:rPr>
        <w:t xml:space="preserve"> (competitice muscarinic receptor antagonist)</w:t>
      </w:r>
      <w:r w:rsidR="00F14228">
        <w:rPr>
          <w:rFonts w:ascii="Arial" w:hAnsi="Arial"/>
        </w:rPr>
        <w:t>: 1</w:t>
      </w:r>
      <w:r w:rsidR="00F14228" w:rsidRPr="00F14228">
        <w:rPr>
          <w:rFonts w:ascii="Arial" w:hAnsi="Arial"/>
          <w:vertAlign w:val="superscript"/>
        </w:rPr>
        <w:t>st</w:t>
      </w:r>
      <w:r w:rsidR="00F14228">
        <w:rPr>
          <w:rFonts w:ascii="Arial" w:hAnsi="Arial"/>
        </w:rPr>
        <w:t xml:space="preserve"> line therapy for UI in patients with symptoms of urinary frequency, urgency or urge incontinence</w:t>
      </w:r>
    </w:p>
    <w:p w14:paraId="7D6D5059" w14:textId="77777777" w:rsidR="001A724F" w:rsidRDefault="00821590" w:rsidP="00760981">
      <w:pPr>
        <w:pStyle w:val="ListParagraph"/>
        <w:numPr>
          <w:ilvl w:val="0"/>
          <w:numId w:val="16"/>
        </w:numPr>
        <w:spacing w:line="360" w:lineRule="auto"/>
        <w:rPr>
          <w:rFonts w:ascii="Arial" w:hAnsi="Arial"/>
        </w:rPr>
      </w:pPr>
      <w:r>
        <w:rPr>
          <w:rFonts w:ascii="Arial" w:hAnsi="Arial"/>
        </w:rPr>
        <w:t>Tolterodine ER</w:t>
      </w:r>
      <w:r w:rsidR="00F14228">
        <w:rPr>
          <w:rFonts w:ascii="Arial" w:hAnsi="Arial"/>
        </w:rPr>
        <w:t xml:space="preserve"> or LA: a major consideration in using it is its </w:t>
      </w:r>
    </w:p>
    <w:p w14:paraId="65B074C5" w14:textId="77777777" w:rsidR="00742481" w:rsidRDefault="00F14228" w:rsidP="00742481">
      <w:pPr>
        <w:pStyle w:val="ListParagraph"/>
        <w:spacing w:line="360" w:lineRule="auto"/>
        <w:ind w:left="1800"/>
        <w:rPr>
          <w:rFonts w:ascii="Arial" w:hAnsi="Arial"/>
        </w:rPr>
      </w:pPr>
      <w:r>
        <w:rPr>
          <w:rFonts w:ascii="Arial" w:hAnsi="Arial"/>
        </w:rPr>
        <w:t>pharmakinetics especially its metabolism.</w:t>
      </w:r>
    </w:p>
    <w:p w14:paraId="3D7C8EF2" w14:textId="77777777" w:rsidR="001A724F" w:rsidRPr="00742481" w:rsidRDefault="00FD69D5" w:rsidP="00742481">
      <w:pPr>
        <w:pStyle w:val="ListParagraph"/>
        <w:numPr>
          <w:ilvl w:val="0"/>
          <w:numId w:val="37"/>
        </w:numPr>
        <w:spacing w:line="360" w:lineRule="auto"/>
        <w:rPr>
          <w:rFonts w:ascii="Arial" w:hAnsi="Arial"/>
        </w:rPr>
      </w:pPr>
      <w:r w:rsidRPr="00742481">
        <w:rPr>
          <w:rFonts w:ascii="Arial" w:hAnsi="Arial"/>
        </w:rPr>
        <w:t>In extensive metabolizers: the parent drug</w:t>
      </w:r>
      <w:r w:rsidR="001A724F" w:rsidRPr="00742481">
        <w:rPr>
          <w:rFonts w:ascii="Arial" w:hAnsi="Arial"/>
        </w:rPr>
        <w:t xml:space="preserve"> is metabolized by CYP2D6 to active 5-hydroxymethyl metabolite (DD01).</w:t>
      </w:r>
    </w:p>
    <w:p w14:paraId="6E84AA89" w14:textId="77777777" w:rsidR="001A724F" w:rsidRDefault="001A724F" w:rsidP="001A724F">
      <w:pPr>
        <w:pStyle w:val="ListParagraph"/>
        <w:numPr>
          <w:ilvl w:val="0"/>
          <w:numId w:val="20"/>
        </w:numPr>
        <w:spacing w:line="360" w:lineRule="auto"/>
        <w:rPr>
          <w:rFonts w:ascii="Arial" w:hAnsi="Arial"/>
        </w:rPr>
      </w:pPr>
      <w:r>
        <w:rPr>
          <w:rFonts w:ascii="Arial" w:hAnsi="Arial"/>
        </w:rPr>
        <w:t>In poor metabolizers who lack CYP2D6: it is metabolized by CYP3A4</w:t>
      </w:r>
    </w:p>
    <w:p w14:paraId="728F34B0" w14:textId="77777777" w:rsidR="00821590" w:rsidRDefault="001A724F" w:rsidP="00742481">
      <w:pPr>
        <w:pStyle w:val="ListParagraph"/>
        <w:numPr>
          <w:ilvl w:val="0"/>
          <w:numId w:val="20"/>
        </w:numPr>
        <w:spacing w:line="360" w:lineRule="auto"/>
        <w:rPr>
          <w:rFonts w:ascii="Arial" w:hAnsi="Arial"/>
        </w:rPr>
      </w:pPr>
      <w:r>
        <w:rPr>
          <w:rFonts w:ascii="Arial" w:hAnsi="Arial"/>
        </w:rPr>
        <w:t xml:space="preserve">In the hepatic impairment patients and are taking a CYP3A4/CYP2D6 inhibitors: the initial </w:t>
      </w:r>
      <w:r w:rsidRPr="007C4AC5">
        <w:rPr>
          <w:rFonts w:ascii="Arial" w:hAnsi="Arial"/>
          <w:color w:val="FF0000"/>
        </w:rPr>
        <w:t>dose should be reduced by 50%</w:t>
      </w:r>
      <w:r w:rsidR="00FD69D5">
        <w:rPr>
          <w:rFonts w:ascii="Arial" w:hAnsi="Arial"/>
        </w:rPr>
        <w:t xml:space="preserve"> </w:t>
      </w:r>
      <w:r w:rsidR="00FD69D5" w:rsidRPr="00FD69D5">
        <w:rPr>
          <w:rFonts w:ascii="Arial" w:hAnsi="Arial"/>
        </w:rPr>
        <w:sym w:font="Wingdings" w:char="F0E0"/>
      </w:r>
      <w:r w:rsidR="00FD69D5">
        <w:rPr>
          <w:rFonts w:ascii="Arial" w:hAnsi="Arial"/>
        </w:rPr>
        <w:t xml:space="preserve"> Tolterodine IR 1 mg twice daily or tolterodine LA 2 mg once daily</w:t>
      </w:r>
      <w:r>
        <w:rPr>
          <w:rFonts w:ascii="Arial" w:hAnsi="Arial"/>
        </w:rPr>
        <w:t xml:space="preserve"> </w:t>
      </w:r>
    </w:p>
    <w:p w14:paraId="7AE54BEE" w14:textId="77777777" w:rsidR="00A02CC2" w:rsidRPr="00A02CC2" w:rsidRDefault="0052658E" w:rsidP="00760981">
      <w:pPr>
        <w:pStyle w:val="ListParagraph"/>
        <w:numPr>
          <w:ilvl w:val="0"/>
          <w:numId w:val="16"/>
        </w:numPr>
        <w:spacing w:line="360" w:lineRule="auto"/>
        <w:rPr>
          <w:rFonts w:ascii="Arial" w:hAnsi="Arial"/>
        </w:rPr>
      </w:pPr>
      <w:r>
        <w:rPr>
          <w:rFonts w:ascii="Arial" w:hAnsi="Arial"/>
        </w:rPr>
        <w:t>Fesoterodine fumarate</w:t>
      </w:r>
      <w:r w:rsidR="00FD69D5">
        <w:rPr>
          <w:rFonts w:ascii="Arial" w:hAnsi="Arial"/>
        </w:rPr>
        <w:t xml:space="preserve">: </w:t>
      </w:r>
      <w:r w:rsidR="00FD69D5" w:rsidRPr="00A02CC2">
        <w:rPr>
          <w:rFonts w:ascii="Arial" w:hAnsi="Arial"/>
          <w:color w:val="FF0000"/>
        </w:rPr>
        <w:t>prodrug</w:t>
      </w:r>
    </w:p>
    <w:p w14:paraId="499EDD60" w14:textId="77777777" w:rsidR="00A02CC2" w:rsidRDefault="00A02CC2" w:rsidP="00A02CC2">
      <w:pPr>
        <w:pStyle w:val="ListParagraph"/>
        <w:numPr>
          <w:ilvl w:val="0"/>
          <w:numId w:val="21"/>
        </w:numPr>
        <w:spacing w:line="360" w:lineRule="auto"/>
        <w:rPr>
          <w:rFonts w:ascii="Arial" w:hAnsi="Arial"/>
          <w:color w:val="000000" w:themeColor="text1"/>
        </w:rPr>
      </w:pPr>
      <w:r>
        <w:rPr>
          <w:rFonts w:ascii="Arial" w:hAnsi="Arial"/>
          <w:color w:val="000000" w:themeColor="text1"/>
        </w:rPr>
        <w:t>No dosage adjustment is necessary in patients with mild to moderate renal or hepatic impairment.</w:t>
      </w:r>
    </w:p>
    <w:p w14:paraId="6E9F85B6" w14:textId="77777777" w:rsidR="00A02CC2" w:rsidRPr="00A02CC2" w:rsidRDefault="00A02CC2" w:rsidP="00A02CC2">
      <w:pPr>
        <w:pStyle w:val="ListParagraph"/>
        <w:numPr>
          <w:ilvl w:val="0"/>
          <w:numId w:val="21"/>
        </w:numPr>
        <w:spacing w:line="360" w:lineRule="auto"/>
        <w:rPr>
          <w:rFonts w:ascii="Arial" w:hAnsi="Arial"/>
        </w:rPr>
      </w:pPr>
      <w:r>
        <w:rPr>
          <w:rFonts w:ascii="Arial" w:hAnsi="Arial"/>
          <w:color w:val="000000" w:themeColor="text1"/>
        </w:rPr>
        <w:t>Starting dose is 4 mg daily and increasing to 8 mg daily.</w:t>
      </w:r>
    </w:p>
    <w:p w14:paraId="78D98F26" w14:textId="77777777" w:rsidR="00A02CC2" w:rsidRPr="00A02CC2" w:rsidRDefault="00A02CC2" w:rsidP="00A02CC2">
      <w:pPr>
        <w:pStyle w:val="ListParagraph"/>
        <w:numPr>
          <w:ilvl w:val="0"/>
          <w:numId w:val="21"/>
        </w:numPr>
        <w:spacing w:line="360" w:lineRule="auto"/>
        <w:rPr>
          <w:rFonts w:ascii="Arial" w:hAnsi="Arial"/>
          <w:color w:val="FF0000"/>
        </w:rPr>
      </w:pPr>
      <w:r>
        <w:rPr>
          <w:rFonts w:ascii="Arial" w:hAnsi="Arial"/>
          <w:color w:val="000000" w:themeColor="text1"/>
        </w:rPr>
        <w:t xml:space="preserve">The dose of Fesoterodine should </w:t>
      </w:r>
      <w:r w:rsidRPr="00A02CC2">
        <w:rPr>
          <w:rFonts w:ascii="Arial" w:hAnsi="Arial"/>
          <w:color w:val="FF0000"/>
        </w:rPr>
        <w:t>not exceed 4 mg daily in the presence of severe renal impairment (CrCl &lt; 30 mL/min) or in patients also taking potent CYPA4 inhibitors.</w:t>
      </w:r>
    </w:p>
    <w:p w14:paraId="4D55A4B5" w14:textId="77777777" w:rsidR="00A02CC2" w:rsidRPr="00A02CC2" w:rsidRDefault="00A02CC2" w:rsidP="00A02CC2">
      <w:pPr>
        <w:pStyle w:val="ListParagraph"/>
        <w:numPr>
          <w:ilvl w:val="0"/>
          <w:numId w:val="21"/>
        </w:numPr>
        <w:spacing w:line="360" w:lineRule="auto"/>
        <w:rPr>
          <w:rFonts w:ascii="Arial" w:hAnsi="Arial"/>
          <w:color w:val="FF0000"/>
        </w:rPr>
      </w:pPr>
      <w:r>
        <w:rPr>
          <w:rFonts w:ascii="Arial" w:hAnsi="Arial"/>
          <w:color w:val="000000" w:themeColor="text1"/>
        </w:rPr>
        <w:t xml:space="preserve">It is </w:t>
      </w:r>
      <w:r w:rsidRPr="00A02CC2">
        <w:rPr>
          <w:rFonts w:ascii="Arial" w:hAnsi="Arial"/>
          <w:color w:val="FF0000"/>
        </w:rPr>
        <w:t>not recommended in patients with severe hepatic impairment.</w:t>
      </w:r>
    </w:p>
    <w:p w14:paraId="699C8FFD" w14:textId="77777777" w:rsidR="0052658E" w:rsidRPr="00A7000B" w:rsidRDefault="00A02CC2" w:rsidP="00A7000B">
      <w:pPr>
        <w:pStyle w:val="ListParagraph"/>
        <w:numPr>
          <w:ilvl w:val="0"/>
          <w:numId w:val="21"/>
        </w:numPr>
        <w:spacing w:line="360" w:lineRule="auto"/>
        <w:rPr>
          <w:rFonts w:ascii="Arial" w:hAnsi="Arial"/>
        </w:rPr>
      </w:pPr>
      <w:r>
        <w:rPr>
          <w:rFonts w:ascii="Arial" w:hAnsi="Arial"/>
          <w:color w:val="000000" w:themeColor="text1"/>
        </w:rPr>
        <w:t>Response is dose-related</w:t>
      </w:r>
      <w:r w:rsidR="00A7000B">
        <w:rPr>
          <w:rFonts w:ascii="Arial" w:hAnsi="Arial"/>
          <w:color w:val="000000" w:themeColor="text1"/>
        </w:rPr>
        <w:t>: 8 mg daily has higher responses than 4 mg daily.</w:t>
      </w:r>
    </w:p>
    <w:p w14:paraId="364CCDC1" w14:textId="77777777" w:rsidR="009D0110" w:rsidRDefault="0052658E" w:rsidP="0000748F">
      <w:pPr>
        <w:pStyle w:val="ListParagraph"/>
        <w:numPr>
          <w:ilvl w:val="0"/>
          <w:numId w:val="16"/>
        </w:numPr>
        <w:spacing w:line="360" w:lineRule="auto"/>
        <w:rPr>
          <w:rFonts w:ascii="Arial" w:hAnsi="Arial"/>
        </w:rPr>
      </w:pPr>
      <w:r>
        <w:rPr>
          <w:rFonts w:ascii="Arial" w:hAnsi="Arial"/>
        </w:rPr>
        <w:t>Trospium Chloride</w:t>
      </w:r>
      <w:r w:rsidR="009D0110">
        <w:rPr>
          <w:rFonts w:ascii="Arial" w:hAnsi="Arial"/>
        </w:rPr>
        <w:t>: a quaternary ammonium anticholinergic</w:t>
      </w:r>
    </w:p>
    <w:p w14:paraId="3B7E2DB8" w14:textId="77777777" w:rsidR="009D0110" w:rsidRPr="009D0110" w:rsidRDefault="009D0110" w:rsidP="009D0110">
      <w:pPr>
        <w:pStyle w:val="ListParagraph"/>
        <w:numPr>
          <w:ilvl w:val="0"/>
          <w:numId w:val="30"/>
        </w:numPr>
        <w:spacing w:line="360" w:lineRule="auto"/>
        <w:rPr>
          <w:rFonts w:ascii="Arial" w:hAnsi="Arial"/>
        </w:rPr>
      </w:pPr>
      <w:r w:rsidRPr="009D0110">
        <w:rPr>
          <w:rFonts w:ascii="Arial" w:hAnsi="Arial"/>
        </w:rPr>
        <w:t>Poorly absorbed and s</w:t>
      </w:r>
      <w:r w:rsidR="00D35DBA">
        <w:rPr>
          <w:rFonts w:ascii="Arial" w:hAnsi="Arial"/>
        </w:rPr>
        <w:t xml:space="preserve">ignificantly reduced BA by food </w:t>
      </w:r>
      <w:r w:rsidR="00D35DBA" w:rsidRPr="00D35DBA">
        <w:rPr>
          <w:rFonts w:ascii="Arial" w:hAnsi="Arial"/>
        </w:rPr>
        <w:sym w:font="Wingdings" w:char="F0E0"/>
      </w:r>
      <w:r w:rsidR="00D35DBA">
        <w:rPr>
          <w:rFonts w:ascii="Arial" w:hAnsi="Arial"/>
        </w:rPr>
        <w:t xml:space="preserve"> should take on an empty stomach</w:t>
      </w:r>
    </w:p>
    <w:p w14:paraId="72ACC60E" w14:textId="77777777" w:rsidR="00D35DBA" w:rsidRDefault="00742481" w:rsidP="009D0110">
      <w:pPr>
        <w:pStyle w:val="ListParagraph"/>
        <w:numPr>
          <w:ilvl w:val="0"/>
          <w:numId w:val="30"/>
        </w:numPr>
        <w:spacing w:line="360" w:lineRule="auto"/>
        <w:rPr>
          <w:rFonts w:ascii="Arial" w:hAnsi="Arial"/>
        </w:rPr>
      </w:pPr>
      <w:r>
        <w:rPr>
          <w:rFonts w:ascii="Arial" w:hAnsi="Arial"/>
        </w:rPr>
        <w:t xml:space="preserve">Renal impairment (CrCl &lt; 30 mL/min) does significantly reduce drug clearance </w:t>
      </w:r>
      <w:r w:rsidR="00D35DBA" w:rsidRPr="00D35DBA">
        <w:rPr>
          <w:rFonts w:ascii="Arial" w:hAnsi="Arial"/>
        </w:rPr>
        <w:sym w:font="Wingdings" w:char="F0E0"/>
      </w:r>
      <w:r w:rsidR="00D35DBA">
        <w:rPr>
          <w:rFonts w:ascii="Arial" w:hAnsi="Arial"/>
        </w:rPr>
        <w:t xml:space="preserve"> dose reduction by 50% of daily dose</w:t>
      </w:r>
    </w:p>
    <w:p w14:paraId="6936FB99" w14:textId="77777777" w:rsidR="009D0110" w:rsidRPr="009D0110" w:rsidRDefault="00D35DBA" w:rsidP="009D0110">
      <w:pPr>
        <w:pStyle w:val="ListParagraph"/>
        <w:numPr>
          <w:ilvl w:val="0"/>
          <w:numId w:val="30"/>
        </w:numPr>
        <w:spacing w:line="360" w:lineRule="auto"/>
        <w:rPr>
          <w:rFonts w:ascii="Arial" w:hAnsi="Arial"/>
        </w:rPr>
      </w:pPr>
      <w:r>
        <w:rPr>
          <w:rFonts w:ascii="Arial" w:hAnsi="Arial"/>
        </w:rPr>
        <w:t>20mg twice daily</w:t>
      </w:r>
    </w:p>
    <w:p w14:paraId="7D5F07CD" w14:textId="77777777" w:rsidR="0052658E" w:rsidRPr="00D15E30" w:rsidRDefault="00D35DBA" w:rsidP="00D15E30">
      <w:pPr>
        <w:pStyle w:val="ListParagraph"/>
        <w:numPr>
          <w:ilvl w:val="0"/>
          <w:numId w:val="30"/>
        </w:numPr>
        <w:spacing w:line="360" w:lineRule="auto"/>
        <w:rPr>
          <w:rFonts w:ascii="Arial" w:hAnsi="Arial"/>
        </w:rPr>
      </w:pPr>
      <w:r>
        <w:rPr>
          <w:rFonts w:ascii="Arial" w:hAnsi="Arial"/>
        </w:rPr>
        <w:t>In patients 75 years and older: dose reduction to 20 mg once daily</w:t>
      </w:r>
    </w:p>
    <w:p w14:paraId="41BB40E7" w14:textId="77777777" w:rsidR="00987C0A" w:rsidRDefault="00A7000B" w:rsidP="00760981">
      <w:pPr>
        <w:pStyle w:val="ListParagraph"/>
        <w:numPr>
          <w:ilvl w:val="0"/>
          <w:numId w:val="16"/>
        </w:numPr>
        <w:spacing w:line="360" w:lineRule="auto"/>
        <w:rPr>
          <w:rFonts w:ascii="Arial" w:hAnsi="Arial"/>
        </w:rPr>
      </w:pPr>
      <w:r>
        <w:rPr>
          <w:rFonts w:ascii="Arial" w:hAnsi="Arial"/>
        </w:rPr>
        <w:t>Trospium Chloride ER</w:t>
      </w:r>
    </w:p>
    <w:p w14:paraId="47B5BA74" w14:textId="77777777" w:rsidR="00987C0A" w:rsidRDefault="00987C0A" w:rsidP="00987C0A">
      <w:pPr>
        <w:pStyle w:val="ListParagraph"/>
        <w:numPr>
          <w:ilvl w:val="0"/>
          <w:numId w:val="38"/>
        </w:numPr>
        <w:spacing w:line="360" w:lineRule="auto"/>
        <w:rPr>
          <w:rFonts w:ascii="Arial" w:hAnsi="Arial"/>
        </w:rPr>
      </w:pPr>
      <w:r>
        <w:rPr>
          <w:rFonts w:ascii="Arial" w:hAnsi="Arial"/>
        </w:rPr>
        <w:t xml:space="preserve">It is </w:t>
      </w:r>
      <w:r w:rsidRPr="007C4AC5">
        <w:rPr>
          <w:rFonts w:ascii="Arial" w:hAnsi="Arial"/>
          <w:color w:val="FF0000"/>
        </w:rPr>
        <w:t>not recommended in patients with severe renal impairment</w:t>
      </w:r>
      <w:r>
        <w:rPr>
          <w:rFonts w:ascii="Arial" w:hAnsi="Arial"/>
        </w:rPr>
        <w:t xml:space="preserve"> (CrCl &lt; 30 ml/min).</w:t>
      </w:r>
    </w:p>
    <w:p w14:paraId="21BEDA7F" w14:textId="77777777" w:rsidR="00821590" w:rsidRDefault="00987C0A" w:rsidP="00987C0A">
      <w:pPr>
        <w:pStyle w:val="ListParagraph"/>
        <w:numPr>
          <w:ilvl w:val="0"/>
          <w:numId w:val="38"/>
        </w:numPr>
        <w:spacing w:line="360" w:lineRule="auto"/>
        <w:rPr>
          <w:rFonts w:ascii="Arial" w:hAnsi="Arial"/>
        </w:rPr>
      </w:pPr>
      <w:r>
        <w:rPr>
          <w:rFonts w:ascii="Arial" w:hAnsi="Arial"/>
        </w:rPr>
        <w:t>60 mg daily</w:t>
      </w:r>
    </w:p>
    <w:p w14:paraId="31D0F242" w14:textId="77777777" w:rsidR="00987C0A" w:rsidRDefault="00A7000B" w:rsidP="00760981">
      <w:pPr>
        <w:pStyle w:val="ListParagraph"/>
        <w:numPr>
          <w:ilvl w:val="0"/>
          <w:numId w:val="16"/>
        </w:numPr>
        <w:spacing w:line="360" w:lineRule="auto"/>
        <w:rPr>
          <w:rFonts w:ascii="Arial" w:hAnsi="Arial"/>
        </w:rPr>
      </w:pPr>
      <w:r>
        <w:rPr>
          <w:rFonts w:ascii="Arial" w:hAnsi="Arial"/>
        </w:rPr>
        <w:t>Solifenacin Succinate</w:t>
      </w:r>
      <w:r w:rsidR="00987C0A">
        <w:rPr>
          <w:rFonts w:ascii="Arial" w:hAnsi="Arial"/>
        </w:rPr>
        <w:t>: is believed to be a “uroselective agent”</w:t>
      </w:r>
      <w:r w:rsidR="003F3DED">
        <w:rPr>
          <w:rFonts w:ascii="Arial" w:hAnsi="Arial"/>
        </w:rPr>
        <w:t xml:space="preserve"> but it is nonselective</w:t>
      </w:r>
    </w:p>
    <w:p w14:paraId="37EAA9B1" w14:textId="77777777" w:rsidR="007C4AC5" w:rsidRDefault="007C4AC5" w:rsidP="007C4AC5">
      <w:pPr>
        <w:pStyle w:val="ListParagraph"/>
        <w:numPr>
          <w:ilvl w:val="0"/>
          <w:numId w:val="39"/>
        </w:numPr>
        <w:spacing w:line="360" w:lineRule="auto"/>
        <w:rPr>
          <w:rFonts w:ascii="Arial" w:hAnsi="Arial"/>
        </w:rPr>
      </w:pPr>
      <w:r>
        <w:rPr>
          <w:rFonts w:ascii="Arial" w:hAnsi="Arial"/>
        </w:rPr>
        <w:t>5 mg once daily (up to 10 mg once daily).</w:t>
      </w:r>
    </w:p>
    <w:p w14:paraId="407CAB5D" w14:textId="77777777" w:rsidR="007C4AC5" w:rsidRDefault="007C4AC5" w:rsidP="007C4AC5">
      <w:pPr>
        <w:pStyle w:val="ListParagraph"/>
        <w:numPr>
          <w:ilvl w:val="0"/>
          <w:numId w:val="39"/>
        </w:numPr>
        <w:spacing w:line="360" w:lineRule="auto"/>
        <w:rPr>
          <w:rFonts w:ascii="Arial" w:hAnsi="Arial"/>
        </w:rPr>
      </w:pPr>
      <w:r>
        <w:rPr>
          <w:rFonts w:ascii="Arial" w:hAnsi="Arial"/>
        </w:rPr>
        <w:t>Administered with or without food.</w:t>
      </w:r>
    </w:p>
    <w:p w14:paraId="09C6F43E" w14:textId="77777777" w:rsidR="007C4AC5" w:rsidRDefault="007C4AC5" w:rsidP="007C4AC5">
      <w:pPr>
        <w:pStyle w:val="ListParagraph"/>
        <w:numPr>
          <w:ilvl w:val="0"/>
          <w:numId w:val="39"/>
        </w:numPr>
        <w:spacing w:line="360" w:lineRule="auto"/>
        <w:rPr>
          <w:rFonts w:ascii="Arial" w:hAnsi="Arial"/>
        </w:rPr>
      </w:pPr>
      <w:r>
        <w:rPr>
          <w:rFonts w:ascii="Arial" w:hAnsi="Arial"/>
        </w:rPr>
        <w:t>CrCl &lt; 30 ml/min or with moderate hepatic impairment or taking one or more potent CYP4A4 inhibitors: the daily dosage should not exceed 5 mg.</w:t>
      </w:r>
    </w:p>
    <w:p w14:paraId="30949FC1" w14:textId="77777777" w:rsidR="00A7000B" w:rsidRPr="007C4AC5" w:rsidRDefault="007C4AC5" w:rsidP="007C4AC5">
      <w:pPr>
        <w:pStyle w:val="ListParagraph"/>
        <w:numPr>
          <w:ilvl w:val="0"/>
          <w:numId w:val="39"/>
        </w:numPr>
        <w:spacing w:line="360" w:lineRule="auto"/>
        <w:rPr>
          <w:rFonts w:ascii="Arial" w:hAnsi="Arial"/>
          <w:color w:val="FF0000"/>
        </w:rPr>
      </w:pPr>
      <w:r>
        <w:rPr>
          <w:rFonts w:ascii="Arial" w:hAnsi="Arial"/>
        </w:rPr>
        <w:t xml:space="preserve">It should </w:t>
      </w:r>
      <w:r w:rsidRPr="007C4AC5">
        <w:rPr>
          <w:rFonts w:ascii="Arial" w:hAnsi="Arial"/>
          <w:color w:val="FF0000"/>
        </w:rPr>
        <w:t xml:space="preserve">not be used in patients with severe hepatic impairment </w:t>
      </w:r>
    </w:p>
    <w:p w14:paraId="50C16F8D" w14:textId="77777777" w:rsidR="007C4AC5" w:rsidRDefault="00A7000B" w:rsidP="00760981">
      <w:pPr>
        <w:pStyle w:val="ListParagraph"/>
        <w:numPr>
          <w:ilvl w:val="0"/>
          <w:numId w:val="16"/>
        </w:numPr>
        <w:spacing w:line="360" w:lineRule="auto"/>
        <w:rPr>
          <w:rFonts w:ascii="Arial" w:hAnsi="Arial"/>
        </w:rPr>
      </w:pPr>
      <w:r>
        <w:rPr>
          <w:rFonts w:ascii="Arial" w:hAnsi="Arial"/>
        </w:rPr>
        <w:t>Darifenacin</w:t>
      </w:r>
      <w:r w:rsidR="007C4AC5">
        <w:rPr>
          <w:rFonts w:ascii="Arial" w:hAnsi="Arial"/>
        </w:rPr>
        <w:t>: “uroselective agent”</w:t>
      </w:r>
      <w:r w:rsidR="003F3DED">
        <w:rPr>
          <w:rFonts w:ascii="Arial" w:hAnsi="Arial"/>
        </w:rPr>
        <w:t xml:space="preserve"> but it is nonselective</w:t>
      </w:r>
    </w:p>
    <w:p w14:paraId="27E15628" w14:textId="77777777" w:rsidR="007C4AC5" w:rsidRDefault="007C4AC5" w:rsidP="007C4AC5">
      <w:pPr>
        <w:pStyle w:val="ListParagraph"/>
        <w:numPr>
          <w:ilvl w:val="0"/>
          <w:numId w:val="40"/>
        </w:numPr>
        <w:spacing w:line="360" w:lineRule="auto"/>
        <w:rPr>
          <w:rFonts w:ascii="Arial" w:hAnsi="Arial"/>
        </w:rPr>
      </w:pPr>
      <w:r>
        <w:rPr>
          <w:rFonts w:ascii="Arial" w:hAnsi="Arial"/>
        </w:rPr>
        <w:t>BA is affected by formulation, CYP2D6, dose and race.</w:t>
      </w:r>
    </w:p>
    <w:p w14:paraId="0AB2FF85" w14:textId="77777777" w:rsidR="00821590" w:rsidRPr="003F3DED" w:rsidRDefault="003F3DED" w:rsidP="003F3DED">
      <w:pPr>
        <w:pStyle w:val="ListParagraph"/>
        <w:numPr>
          <w:ilvl w:val="0"/>
          <w:numId w:val="40"/>
        </w:numPr>
        <w:spacing w:line="360" w:lineRule="auto"/>
        <w:rPr>
          <w:rFonts w:ascii="Arial" w:hAnsi="Arial"/>
        </w:rPr>
      </w:pPr>
      <w:r>
        <w:rPr>
          <w:rFonts w:ascii="Arial" w:hAnsi="Arial"/>
        </w:rPr>
        <w:t>7.5-15 mg once daily of ER formulation</w:t>
      </w:r>
    </w:p>
    <w:p w14:paraId="100153A2" w14:textId="77777777" w:rsidR="00A7000B" w:rsidRPr="00D9426A" w:rsidRDefault="00A7000B" w:rsidP="00D9426A">
      <w:pPr>
        <w:pStyle w:val="ListParagraph"/>
        <w:numPr>
          <w:ilvl w:val="0"/>
          <w:numId w:val="16"/>
        </w:numPr>
        <w:spacing w:line="360" w:lineRule="auto"/>
        <w:rPr>
          <w:rFonts w:ascii="Arial" w:hAnsi="Arial"/>
        </w:rPr>
      </w:pPr>
      <w:r>
        <w:rPr>
          <w:rFonts w:ascii="Arial" w:hAnsi="Arial"/>
        </w:rPr>
        <w:t>Botulium toxin A</w:t>
      </w:r>
    </w:p>
    <w:p w14:paraId="1DF217D0" w14:textId="77777777" w:rsidR="00760981" w:rsidRPr="00A7000B" w:rsidRDefault="00A7000B" w:rsidP="001930D1">
      <w:pPr>
        <w:pStyle w:val="ListParagraph"/>
        <w:numPr>
          <w:ilvl w:val="0"/>
          <w:numId w:val="16"/>
        </w:numPr>
        <w:spacing w:line="360" w:lineRule="auto"/>
        <w:rPr>
          <w:rFonts w:ascii="Arial" w:hAnsi="Arial"/>
        </w:rPr>
      </w:pPr>
      <w:r>
        <w:rPr>
          <w:rFonts w:ascii="Arial" w:hAnsi="Arial"/>
        </w:rPr>
        <w:t>Catheterization combined with medications</w:t>
      </w:r>
    </w:p>
    <w:p w14:paraId="6B88559C" w14:textId="77777777" w:rsidR="0000748F" w:rsidRDefault="00A7000B" w:rsidP="00760981">
      <w:pPr>
        <w:pStyle w:val="ListParagraph"/>
        <w:numPr>
          <w:ilvl w:val="0"/>
          <w:numId w:val="15"/>
        </w:numPr>
        <w:spacing w:line="360" w:lineRule="auto"/>
        <w:rPr>
          <w:rFonts w:ascii="Arial" w:hAnsi="Arial"/>
        </w:rPr>
      </w:pPr>
      <w:r>
        <w:rPr>
          <w:rFonts w:ascii="Arial" w:hAnsi="Arial"/>
        </w:rPr>
        <w:t>Urethral Underactivity</w:t>
      </w:r>
      <w:r w:rsidR="00D9426A">
        <w:rPr>
          <w:rFonts w:ascii="Arial" w:hAnsi="Arial"/>
        </w:rPr>
        <w:t xml:space="preserve"> or SUI</w:t>
      </w:r>
    </w:p>
    <w:p w14:paraId="684933B6" w14:textId="77777777" w:rsidR="00D9426A" w:rsidRDefault="0000748F" w:rsidP="0000748F">
      <w:pPr>
        <w:pStyle w:val="ListParagraph"/>
        <w:numPr>
          <w:ilvl w:val="1"/>
          <w:numId w:val="15"/>
        </w:numPr>
        <w:spacing w:line="360" w:lineRule="auto"/>
        <w:rPr>
          <w:rFonts w:ascii="Arial" w:hAnsi="Arial"/>
        </w:rPr>
      </w:pPr>
      <w:r>
        <w:rPr>
          <w:rFonts w:ascii="Arial" w:hAnsi="Arial"/>
        </w:rPr>
        <w:t>Estrogen</w:t>
      </w:r>
      <w:r w:rsidR="00D9426A">
        <w:rPr>
          <w:rFonts w:ascii="Arial" w:hAnsi="Arial"/>
        </w:rPr>
        <w:t xml:space="preserve">: </w:t>
      </w:r>
    </w:p>
    <w:p w14:paraId="5B51B8A3" w14:textId="77777777" w:rsidR="00D9426A" w:rsidRDefault="00D9426A" w:rsidP="00D9426A">
      <w:pPr>
        <w:pStyle w:val="ListParagraph"/>
        <w:numPr>
          <w:ilvl w:val="2"/>
          <w:numId w:val="15"/>
        </w:numPr>
        <w:spacing w:line="360" w:lineRule="auto"/>
        <w:rPr>
          <w:rFonts w:ascii="Arial" w:hAnsi="Arial"/>
        </w:rPr>
      </w:pPr>
      <w:r>
        <w:rPr>
          <w:rFonts w:ascii="Arial" w:hAnsi="Arial"/>
        </w:rPr>
        <w:t>Only topical products due to many SE’s</w:t>
      </w:r>
    </w:p>
    <w:p w14:paraId="69253827" w14:textId="77777777" w:rsidR="0000748F" w:rsidRPr="00D9426A" w:rsidRDefault="00D9426A" w:rsidP="00D9426A">
      <w:pPr>
        <w:pStyle w:val="ListParagraph"/>
        <w:numPr>
          <w:ilvl w:val="2"/>
          <w:numId w:val="15"/>
        </w:numPr>
        <w:spacing w:line="360" w:lineRule="auto"/>
        <w:rPr>
          <w:rFonts w:ascii="Arial" w:hAnsi="Arial"/>
        </w:rPr>
      </w:pPr>
      <w:r w:rsidRPr="00D9426A">
        <w:rPr>
          <w:rFonts w:ascii="Arial" w:hAnsi="Arial"/>
        </w:rPr>
        <w:t>Work best if urethritis or vaginitis due to estrogen deficiency is present</w:t>
      </w:r>
    </w:p>
    <w:p w14:paraId="53E8226F" w14:textId="77777777" w:rsidR="00897C8E" w:rsidRDefault="0000748F" w:rsidP="0000748F">
      <w:pPr>
        <w:pStyle w:val="ListParagraph"/>
        <w:numPr>
          <w:ilvl w:val="1"/>
          <w:numId w:val="15"/>
        </w:numPr>
        <w:spacing w:line="360" w:lineRule="auto"/>
        <w:rPr>
          <w:rFonts w:ascii="Arial" w:hAnsi="Arial"/>
        </w:rPr>
      </w:pPr>
      <w:r>
        <w:rPr>
          <w:rFonts w:ascii="Arial" w:hAnsi="Arial"/>
        </w:rPr>
        <w:t>Alpha adrenergic receptor agonists</w:t>
      </w:r>
      <w:r w:rsidR="00D9426A">
        <w:rPr>
          <w:rFonts w:ascii="Arial" w:hAnsi="Arial"/>
        </w:rPr>
        <w:t>:</w:t>
      </w:r>
      <w:r w:rsidR="00EF386D">
        <w:rPr>
          <w:rFonts w:ascii="Arial" w:hAnsi="Arial"/>
        </w:rPr>
        <w:t xml:space="preserve"> </w:t>
      </w:r>
    </w:p>
    <w:p w14:paraId="0B7DD63E" w14:textId="77777777" w:rsidR="00897C8E" w:rsidRDefault="00897C8E" w:rsidP="00897C8E">
      <w:pPr>
        <w:pStyle w:val="ListParagraph"/>
        <w:numPr>
          <w:ilvl w:val="2"/>
          <w:numId w:val="15"/>
        </w:numPr>
        <w:spacing w:line="360" w:lineRule="auto"/>
        <w:rPr>
          <w:rFonts w:ascii="Arial" w:hAnsi="Arial"/>
        </w:rPr>
      </w:pPr>
      <w:r w:rsidRPr="00897C8E">
        <w:rPr>
          <w:rFonts w:ascii="Arial" w:hAnsi="Arial"/>
        </w:rPr>
        <w:t>Contraindications: hypertension, tachycardia, CAD, MI, cor pulmonable, hyperthyroidism, renal failure and narrow-angle glaucoma.</w:t>
      </w:r>
    </w:p>
    <w:p w14:paraId="7590BACC" w14:textId="77777777" w:rsidR="0000748F" w:rsidRPr="00C0607E" w:rsidRDefault="00C0607E" w:rsidP="00C0607E">
      <w:pPr>
        <w:pStyle w:val="ListParagraph"/>
        <w:numPr>
          <w:ilvl w:val="2"/>
          <w:numId w:val="15"/>
        </w:numPr>
        <w:spacing w:line="360" w:lineRule="auto"/>
        <w:rPr>
          <w:rFonts w:ascii="Arial" w:hAnsi="Arial"/>
        </w:rPr>
      </w:pPr>
      <w:r>
        <w:rPr>
          <w:rFonts w:ascii="Arial" w:hAnsi="Arial"/>
        </w:rPr>
        <w:t>AE’s: hypertension, headache, dry mouth, nausea, insomnia and restlessness.</w:t>
      </w:r>
    </w:p>
    <w:p w14:paraId="4C5B1FBE" w14:textId="77777777" w:rsidR="0000748F" w:rsidRPr="00C0607E" w:rsidRDefault="0000748F" w:rsidP="00C0607E">
      <w:pPr>
        <w:pStyle w:val="ListParagraph"/>
        <w:numPr>
          <w:ilvl w:val="1"/>
          <w:numId w:val="15"/>
        </w:numPr>
        <w:spacing w:line="360" w:lineRule="auto"/>
        <w:rPr>
          <w:rFonts w:ascii="Arial" w:hAnsi="Arial"/>
        </w:rPr>
      </w:pPr>
      <w:r>
        <w:rPr>
          <w:rFonts w:ascii="Arial" w:hAnsi="Arial"/>
        </w:rPr>
        <w:t>Duloxetine</w:t>
      </w:r>
      <w:r w:rsidR="00C0607E">
        <w:rPr>
          <w:rFonts w:ascii="Arial" w:hAnsi="Arial"/>
        </w:rPr>
        <w:t xml:space="preserve">: </w:t>
      </w:r>
      <w:r w:rsidR="00C0607E" w:rsidRPr="00C0607E">
        <w:rPr>
          <w:rFonts w:ascii="Arial" w:hAnsi="Arial"/>
          <w:color w:val="FF0000"/>
        </w:rPr>
        <w:t>1</w:t>
      </w:r>
      <w:r w:rsidR="00C0607E" w:rsidRPr="00C0607E">
        <w:rPr>
          <w:rFonts w:ascii="Arial" w:hAnsi="Arial"/>
          <w:color w:val="FF0000"/>
          <w:vertAlign w:val="superscript"/>
        </w:rPr>
        <w:t>st</w:t>
      </w:r>
      <w:r w:rsidR="00C0607E" w:rsidRPr="00C0607E">
        <w:rPr>
          <w:rFonts w:ascii="Arial" w:hAnsi="Arial"/>
          <w:color w:val="FF0000"/>
        </w:rPr>
        <w:t xml:space="preserve"> line therapy, but not FDA approved</w:t>
      </w:r>
      <w:r w:rsidR="00C0607E">
        <w:rPr>
          <w:rFonts w:ascii="Arial" w:hAnsi="Arial"/>
        </w:rPr>
        <w:t>: 40-80 mg/day (one or two doses)</w:t>
      </w:r>
      <w:r w:rsidR="00C0607E" w:rsidRPr="00C0607E">
        <w:rPr>
          <w:rFonts w:ascii="Arial" w:hAnsi="Arial"/>
        </w:rPr>
        <w:t xml:space="preserve">      </w:t>
      </w:r>
    </w:p>
    <w:p w14:paraId="5EDD8AC6" w14:textId="77777777" w:rsidR="00760981" w:rsidRDefault="0000748F" w:rsidP="00760981">
      <w:pPr>
        <w:pStyle w:val="ListParagraph"/>
        <w:numPr>
          <w:ilvl w:val="0"/>
          <w:numId w:val="15"/>
        </w:numPr>
        <w:spacing w:line="360" w:lineRule="auto"/>
        <w:rPr>
          <w:rFonts w:ascii="Arial" w:hAnsi="Arial"/>
        </w:rPr>
      </w:pPr>
      <w:r>
        <w:rPr>
          <w:rFonts w:ascii="Arial" w:hAnsi="Arial"/>
        </w:rPr>
        <w:t>Surgical treatment</w:t>
      </w:r>
    </w:p>
    <w:p w14:paraId="7421A418" w14:textId="77777777" w:rsidR="0000748F" w:rsidRDefault="0000748F" w:rsidP="0000748F">
      <w:pPr>
        <w:spacing w:line="360" w:lineRule="auto"/>
        <w:rPr>
          <w:rFonts w:ascii="Arial" w:hAnsi="Arial"/>
        </w:rPr>
      </w:pPr>
      <w:r>
        <w:rPr>
          <w:rFonts w:ascii="Arial" w:hAnsi="Arial"/>
        </w:rPr>
        <w:t xml:space="preserve">           </w:t>
      </w:r>
    </w:p>
    <w:p w14:paraId="49A12893" w14:textId="77777777" w:rsidR="00872F3B" w:rsidRPr="00C0607E" w:rsidRDefault="00872F3B" w:rsidP="00C0607E">
      <w:pPr>
        <w:spacing w:line="360" w:lineRule="auto"/>
        <w:rPr>
          <w:rFonts w:ascii="Arial" w:hAnsi="Arial"/>
        </w:rPr>
      </w:pPr>
    </w:p>
    <w:sectPr w:rsidR="00872F3B" w:rsidRPr="00C0607E" w:rsidSect="00872F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1F6"/>
    <w:multiLevelType w:val="hybridMultilevel"/>
    <w:tmpl w:val="E64ECB4E"/>
    <w:lvl w:ilvl="0" w:tplc="E924AE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3E7790"/>
    <w:multiLevelType w:val="hybridMultilevel"/>
    <w:tmpl w:val="873A4936"/>
    <w:lvl w:ilvl="0" w:tplc="D53ACA0A">
      <w:start w:val="3"/>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E206BEF"/>
    <w:multiLevelType w:val="hybridMultilevel"/>
    <w:tmpl w:val="10CEFC56"/>
    <w:lvl w:ilvl="0" w:tplc="3F7256E2">
      <w:start w:val="3"/>
      <w:numFmt w:val="bullet"/>
      <w:lvlText w:val=""/>
      <w:lvlJc w:val="left"/>
      <w:pPr>
        <w:ind w:left="1800" w:hanging="360"/>
      </w:pPr>
      <w:rPr>
        <w:rFonts w:ascii="Symbol" w:hAnsi="Symbol" w:hint="default"/>
      </w:rPr>
    </w:lvl>
    <w:lvl w:ilvl="1" w:tplc="04090003">
      <w:start w:val="1"/>
      <w:numFmt w:val="bullet"/>
      <w:lvlText w:val="o"/>
      <w:lvlJc w:val="left"/>
      <w:pPr>
        <w:ind w:left="460" w:hanging="360"/>
      </w:pPr>
      <w:rPr>
        <w:rFonts w:ascii="Courier New" w:hAnsi="Courier New" w:hint="default"/>
      </w:rPr>
    </w:lvl>
    <w:lvl w:ilvl="2" w:tplc="04090005">
      <w:start w:val="1"/>
      <w:numFmt w:val="bullet"/>
      <w:lvlText w:val=""/>
      <w:lvlJc w:val="left"/>
      <w:pPr>
        <w:ind w:left="1180" w:hanging="360"/>
      </w:pPr>
      <w:rPr>
        <w:rFonts w:ascii="Symbol" w:hAnsi="Symbol" w:hint="default"/>
      </w:rPr>
    </w:lvl>
    <w:lvl w:ilvl="3" w:tplc="04090001" w:tentative="1">
      <w:start w:val="1"/>
      <w:numFmt w:val="bullet"/>
      <w:lvlText w:val=""/>
      <w:lvlJc w:val="left"/>
      <w:pPr>
        <w:ind w:left="1900" w:hanging="360"/>
      </w:pPr>
      <w:rPr>
        <w:rFonts w:ascii="Symbol" w:hAnsi="Symbol" w:hint="default"/>
      </w:rPr>
    </w:lvl>
    <w:lvl w:ilvl="4" w:tplc="04090003" w:tentative="1">
      <w:start w:val="1"/>
      <w:numFmt w:val="bullet"/>
      <w:lvlText w:val="o"/>
      <w:lvlJc w:val="left"/>
      <w:pPr>
        <w:ind w:left="2620" w:hanging="360"/>
      </w:pPr>
      <w:rPr>
        <w:rFonts w:ascii="Courier New" w:hAnsi="Courier New" w:hint="default"/>
      </w:rPr>
    </w:lvl>
    <w:lvl w:ilvl="5" w:tplc="04090005" w:tentative="1">
      <w:start w:val="1"/>
      <w:numFmt w:val="bullet"/>
      <w:lvlText w:val=""/>
      <w:lvlJc w:val="left"/>
      <w:pPr>
        <w:ind w:left="3340" w:hanging="360"/>
      </w:pPr>
      <w:rPr>
        <w:rFonts w:ascii="Wingdings" w:hAnsi="Wingdings" w:hint="default"/>
      </w:rPr>
    </w:lvl>
    <w:lvl w:ilvl="6" w:tplc="04090001" w:tentative="1">
      <w:start w:val="1"/>
      <w:numFmt w:val="bullet"/>
      <w:lvlText w:val=""/>
      <w:lvlJc w:val="left"/>
      <w:pPr>
        <w:ind w:left="4060" w:hanging="360"/>
      </w:pPr>
      <w:rPr>
        <w:rFonts w:ascii="Symbol" w:hAnsi="Symbol" w:hint="default"/>
      </w:rPr>
    </w:lvl>
    <w:lvl w:ilvl="7" w:tplc="04090003" w:tentative="1">
      <w:start w:val="1"/>
      <w:numFmt w:val="bullet"/>
      <w:lvlText w:val="o"/>
      <w:lvlJc w:val="left"/>
      <w:pPr>
        <w:ind w:left="4780" w:hanging="360"/>
      </w:pPr>
      <w:rPr>
        <w:rFonts w:ascii="Courier New" w:hAnsi="Courier New" w:hint="default"/>
      </w:rPr>
    </w:lvl>
    <w:lvl w:ilvl="8" w:tplc="04090005" w:tentative="1">
      <w:start w:val="1"/>
      <w:numFmt w:val="bullet"/>
      <w:lvlText w:val=""/>
      <w:lvlJc w:val="left"/>
      <w:pPr>
        <w:ind w:left="5500" w:hanging="360"/>
      </w:pPr>
      <w:rPr>
        <w:rFonts w:ascii="Wingdings" w:hAnsi="Wingdings" w:hint="default"/>
      </w:rPr>
    </w:lvl>
  </w:abstractNum>
  <w:abstractNum w:abstractNumId="3">
    <w:nsid w:val="1F511190"/>
    <w:multiLevelType w:val="hybridMultilevel"/>
    <w:tmpl w:val="EA3EF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B67F38"/>
    <w:multiLevelType w:val="hybridMultilevel"/>
    <w:tmpl w:val="B448C0F4"/>
    <w:lvl w:ilvl="0" w:tplc="04090001">
      <w:start w:val="1"/>
      <w:numFmt w:val="bullet"/>
      <w:lvlText w:val=""/>
      <w:lvlJc w:val="left"/>
      <w:pPr>
        <w:ind w:left="2900" w:hanging="360"/>
      </w:pPr>
      <w:rPr>
        <w:rFonts w:ascii="Symbol" w:hAnsi="Symbol" w:hint="default"/>
      </w:rPr>
    </w:lvl>
    <w:lvl w:ilvl="1" w:tplc="04090003" w:tentative="1">
      <w:start w:val="1"/>
      <w:numFmt w:val="bullet"/>
      <w:lvlText w:val="o"/>
      <w:lvlJc w:val="left"/>
      <w:pPr>
        <w:ind w:left="3620" w:hanging="360"/>
      </w:pPr>
      <w:rPr>
        <w:rFonts w:ascii="Courier New" w:hAnsi="Courier New" w:hint="default"/>
      </w:rPr>
    </w:lvl>
    <w:lvl w:ilvl="2" w:tplc="04090005" w:tentative="1">
      <w:start w:val="1"/>
      <w:numFmt w:val="bullet"/>
      <w:lvlText w:val=""/>
      <w:lvlJc w:val="left"/>
      <w:pPr>
        <w:ind w:left="4340" w:hanging="360"/>
      </w:pPr>
      <w:rPr>
        <w:rFonts w:ascii="Wingdings" w:hAnsi="Wingdings" w:hint="default"/>
      </w:rPr>
    </w:lvl>
    <w:lvl w:ilvl="3" w:tplc="04090001" w:tentative="1">
      <w:start w:val="1"/>
      <w:numFmt w:val="bullet"/>
      <w:lvlText w:val=""/>
      <w:lvlJc w:val="left"/>
      <w:pPr>
        <w:ind w:left="5060" w:hanging="360"/>
      </w:pPr>
      <w:rPr>
        <w:rFonts w:ascii="Symbol" w:hAnsi="Symbol" w:hint="default"/>
      </w:rPr>
    </w:lvl>
    <w:lvl w:ilvl="4" w:tplc="04090003" w:tentative="1">
      <w:start w:val="1"/>
      <w:numFmt w:val="bullet"/>
      <w:lvlText w:val="o"/>
      <w:lvlJc w:val="left"/>
      <w:pPr>
        <w:ind w:left="5780" w:hanging="360"/>
      </w:pPr>
      <w:rPr>
        <w:rFonts w:ascii="Courier New" w:hAnsi="Courier New" w:hint="default"/>
      </w:rPr>
    </w:lvl>
    <w:lvl w:ilvl="5" w:tplc="04090005" w:tentative="1">
      <w:start w:val="1"/>
      <w:numFmt w:val="bullet"/>
      <w:lvlText w:val=""/>
      <w:lvlJc w:val="left"/>
      <w:pPr>
        <w:ind w:left="6500" w:hanging="360"/>
      </w:pPr>
      <w:rPr>
        <w:rFonts w:ascii="Wingdings" w:hAnsi="Wingdings" w:hint="default"/>
      </w:rPr>
    </w:lvl>
    <w:lvl w:ilvl="6" w:tplc="04090001" w:tentative="1">
      <w:start w:val="1"/>
      <w:numFmt w:val="bullet"/>
      <w:lvlText w:val=""/>
      <w:lvlJc w:val="left"/>
      <w:pPr>
        <w:ind w:left="7220" w:hanging="360"/>
      </w:pPr>
      <w:rPr>
        <w:rFonts w:ascii="Symbol" w:hAnsi="Symbol" w:hint="default"/>
      </w:rPr>
    </w:lvl>
    <w:lvl w:ilvl="7" w:tplc="04090003" w:tentative="1">
      <w:start w:val="1"/>
      <w:numFmt w:val="bullet"/>
      <w:lvlText w:val="o"/>
      <w:lvlJc w:val="left"/>
      <w:pPr>
        <w:ind w:left="7940" w:hanging="360"/>
      </w:pPr>
      <w:rPr>
        <w:rFonts w:ascii="Courier New" w:hAnsi="Courier New" w:hint="default"/>
      </w:rPr>
    </w:lvl>
    <w:lvl w:ilvl="8" w:tplc="04090005" w:tentative="1">
      <w:start w:val="1"/>
      <w:numFmt w:val="bullet"/>
      <w:lvlText w:val=""/>
      <w:lvlJc w:val="left"/>
      <w:pPr>
        <w:ind w:left="8660" w:hanging="360"/>
      </w:pPr>
      <w:rPr>
        <w:rFonts w:ascii="Wingdings" w:hAnsi="Wingdings" w:hint="default"/>
      </w:rPr>
    </w:lvl>
  </w:abstractNum>
  <w:abstractNum w:abstractNumId="5">
    <w:nsid w:val="272F7B68"/>
    <w:multiLevelType w:val="hybridMultilevel"/>
    <w:tmpl w:val="75E8AC50"/>
    <w:lvl w:ilvl="0" w:tplc="E924AE1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7B36D0"/>
    <w:multiLevelType w:val="hybridMultilevel"/>
    <w:tmpl w:val="7C6004BA"/>
    <w:lvl w:ilvl="0" w:tplc="E924AE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BA2C1C"/>
    <w:multiLevelType w:val="hybridMultilevel"/>
    <w:tmpl w:val="F9446EA2"/>
    <w:lvl w:ilvl="0" w:tplc="3F7256E2">
      <w:start w:val="3"/>
      <w:numFmt w:val="bullet"/>
      <w:lvlText w:val="-"/>
      <w:lvlJc w:val="left"/>
      <w:pPr>
        <w:ind w:left="3500" w:hanging="360"/>
      </w:pPr>
      <w:rPr>
        <w:rFonts w:ascii="Arial" w:eastAsiaTheme="minorHAnsi" w:hAnsi="Arial"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374F41"/>
    <w:multiLevelType w:val="hybridMultilevel"/>
    <w:tmpl w:val="4CA0F2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0614637"/>
    <w:multiLevelType w:val="hybridMultilevel"/>
    <w:tmpl w:val="EF04EE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1F2FA8"/>
    <w:multiLevelType w:val="hybridMultilevel"/>
    <w:tmpl w:val="A588C43C"/>
    <w:lvl w:ilvl="0" w:tplc="93A82ECC">
      <w:start w:val="3"/>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11">
    <w:nsid w:val="33E63EE2"/>
    <w:multiLevelType w:val="hybridMultilevel"/>
    <w:tmpl w:val="44DE7BA8"/>
    <w:lvl w:ilvl="0" w:tplc="3B4E9402">
      <w:start w:val="3"/>
      <w:numFmt w:val="bullet"/>
      <w:lvlText w:val=""/>
      <w:lvlJc w:val="left"/>
      <w:pPr>
        <w:ind w:left="26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DE6A59"/>
    <w:multiLevelType w:val="hybridMultilevel"/>
    <w:tmpl w:val="2DD0D8BA"/>
    <w:lvl w:ilvl="0" w:tplc="3F7256E2">
      <w:start w:val="3"/>
      <w:numFmt w:val="bullet"/>
      <w:lvlText w:val="-"/>
      <w:lvlJc w:val="left"/>
      <w:pPr>
        <w:ind w:left="4580" w:hanging="360"/>
      </w:pPr>
      <w:rPr>
        <w:rFonts w:ascii="Arial" w:eastAsiaTheme="minorHAnsi" w:hAnsi="Arial" w:cstheme="minorBidi" w:hint="default"/>
      </w:rPr>
    </w:lvl>
    <w:lvl w:ilvl="1" w:tplc="04090003" w:tentative="1">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5BA59F2"/>
    <w:multiLevelType w:val="hybridMultilevel"/>
    <w:tmpl w:val="B63C91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5C920DB"/>
    <w:multiLevelType w:val="hybridMultilevel"/>
    <w:tmpl w:val="1786E7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A03A46"/>
    <w:multiLevelType w:val="hybridMultilevel"/>
    <w:tmpl w:val="8F2630CE"/>
    <w:lvl w:ilvl="0" w:tplc="3F7256E2">
      <w:start w:val="3"/>
      <w:numFmt w:val="bullet"/>
      <w:lvlText w:val=""/>
      <w:lvlJc w:val="left"/>
      <w:pPr>
        <w:ind w:left="2520" w:hanging="360"/>
      </w:pPr>
      <w:rPr>
        <w:rFonts w:ascii="Symbol" w:hAnsi="Symbol"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6">
    <w:nsid w:val="3D9B187C"/>
    <w:multiLevelType w:val="hybridMultilevel"/>
    <w:tmpl w:val="A64C4532"/>
    <w:lvl w:ilvl="0" w:tplc="76C02708">
      <w:start w:val="3"/>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FC94070"/>
    <w:multiLevelType w:val="hybridMultilevel"/>
    <w:tmpl w:val="21540720"/>
    <w:lvl w:ilvl="0" w:tplc="48A2F20A">
      <w:start w:val="3"/>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3FF00D32"/>
    <w:multiLevelType w:val="hybridMultilevel"/>
    <w:tmpl w:val="F334D018"/>
    <w:lvl w:ilvl="0" w:tplc="9312B144">
      <w:start w:val="3"/>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4067624D"/>
    <w:multiLevelType w:val="hybridMultilevel"/>
    <w:tmpl w:val="F26E01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4344D65"/>
    <w:multiLevelType w:val="hybridMultilevel"/>
    <w:tmpl w:val="BA805246"/>
    <w:lvl w:ilvl="0" w:tplc="3B4E9402">
      <w:start w:val="3"/>
      <w:numFmt w:val="bullet"/>
      <w:lvlText w:val=""/>
      <w:lvlJc w:val="left"/>
      <w:pPr>
        <w:ind w:left="26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380F88"/>
    <w:multiLevelType w:val="hybridMultilevel"/>
    <w:tmpl w:val="F9ACD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D516236"/>
    <w:multiLevelType w:val="hybridMultilevel"/>
    <w:tmpl w:val="AFF83910"/>
    <w:lvl w:ilvl="0" w:tplc="3F7256E2">
      <w:start w:val="3"/>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51CC4AEE"/>
    <w:multiLevelType w:val="hybridMultilevel"/>
    <w:tmpl w:val="B38468D6"/>
    <w:lvl w:ilvl="0" w:tplc="3F7256E2">
      <w:start w:val="3"/>
      <w:numFmt w:val="bullet"/>
      <w:lvlText w:val="-"/>
      <w:lvlJc w:val="left"/>
      <w:pPr>
        <w:ind w:left="4580" w:hanging="360"/>
      </w:pPr>
      <w:rPr>
        <w:rFonts w:ascii="Arial" w:eastAsiaTheme="minorHAnsi" w:hAnsi="Arial" w:cstheme="minorBidi" w:hint="default"/>
      </w:rPr>
    </w:lvl>
    <w:lvl w:ilvl="1" w:tplc="04090003" w:tentative="1">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3BF0CC4"/>
    <w:multiLevelType w:val="hybridMultilevel"/>
    <w:tmpl w:val="8C2E34AA"/>
    <w:lvl w:ilvl="0" w:tplc="3B4E9402">
      <w:start w:val="3"/>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56BF1C1A"/>
    <w:multiLevelType w:val="hybridMultilevel"/>
    <w:tmpl w:val="8348E9AA"/>
    <w:lvl w:ilvl="0" w:tplc="3B4E9402">
      <w:start w:val="3"/>
      <w:numFmt w:val="bullet"/>
      <w:lvlText w:val=""/>
      <w:lvlJc w:val="left"/>
      <w:pPr>
        <w:ind w:left="37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815680E"/>
    <w:multiLevelType w:val="hybridMultilevel"/>
    <w:tmpl w:val="9676C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1820AB"/>
    <w:multiLevelType w:val="hybridMultilevel"/>
    <w:tmpl w:val="D83C18AE"/>
    <w:lvl w:ilvl="0" w:tplc="3B4E9402">
      <w:start w:val="3"/>
      <w:numFmt w:val="bullet"/>
      <w:lvlText w:val=""/>
      <w:lvlJc w:val="left"/>
      <w:pPr>
        <w:ind w:left="26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7B6C88"/>
    <w:multiLevelType w:val="hybridMultilevel"/>
    <w:tmpl w:val="E2AC8D20"/>
    <w:lvl w:ilvl="0" w:tplc="3F7256E2">
      <w:start w:val="3"/>
      <w:numFmt w:val="bullet"/>
      <w:lvlText w:val="-"/>
      <w:lvlJc w:val="left"/>
      <w:pPr>
        <w:ind w:left="4580" w:hanging="360"/>
      </w:pPr>
      <w:rPr>
        <w:rFonts w:ascii="Arial" w:eastAsiaTheme="minorHAnsi" w:hAnsi="Arial" w:cstheme="minorBidi" w:hint="default"/>
      </w:rPr>
    </w:lvl>
    <w:lvl w:ilvl="1" w:tplc="04090003" w:tentative="1">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C921ED1"/>
    <w:multiLevelType w:val="hybridMultilevel"/>
    <w:tmpl w:val="AA38A244"/>
    <w:lvl w:ilvl="0" w:tplc="04090001">
      <w:start w:val="1"/>
      <w:numFmt w:val="bullet"/>
      <w:lvlText w:val=""/>
      <w:lvlJc w:val="left"/>
      <w:pPr>
        <w:ind w:left="1800" w:hanging="360"/>
      </w:pPr>
      <w:rPr>
        <w:rFonts w:ascii="Symbol" w:hAnsi="Symbol" w:hint="default"/>
      </w:rPr>
    </w:lvl>
    <w:lvl w:ilvl="1" w:tplc="9E98A29A">
      <w:numFmt w:val="bullet"/>
      <w:lvlText w:val=""/>
      <w:lvlJc w:val="left"/>
      <w:pPr>
        <w:ind w:left="2520" w:hanging="360"/>
      </w:pPr>
      <w:rPr>
        <w:rFonts w:ascii="Symbol" w:hAnsi="Symbol" w:hint="default"/>
      </w:rPr>
    </w:lvl>
    <w:lvl w:ilvl="2" w:tplc="50A4F926">
      <w:start w:val="5"/>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E12290D"/>
    <w:multiLevelType w:val="hybridMultilevel"/>
    <w:tmpl w:val="6FC07C58"/>
    <w:lvl w:ilvl="0" w:tplc="E924AE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E4127C4"/>
    <w:multiLevelType w:val="hybridMultilevel"/>
    <w:tmpl w:val="74D461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F18643F"/>
    <w:multiLevelType w:val="hybridMultilevel"/>
    <w:tmpl w:val="EE98BB94"/>
    <w:lvl w:ilvl="0" w:tplc="EDD47A1C">
      <w:start w:val="3"/>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33">
    <w:nsid w:val="5F730604"/>
    <w:multiLevelType w:val="hybridMultilevel"/>
    <w:tmpl w:val="0ED45D4E"/>
    <w:lvl w:ilvl="0" w:tplc="3B4E9402">
      <w:start w:val="3"/>
      <w:numFmt w:val="bullet"/>
      <w:lvlText w:val=""/>
      <w:lvlJc w:val="left"/>
      <w:pPr>
        <w:ind w:left="37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6423ED0"/>
    <w:multiLevelType w:val="hybridMultilevel"/>
    <w:tmpl w:val="FFD4FD94"/>
    <w:lvl w:ilvl="0" w:tplc="3B4E9402">
      <w:start w:val="3"/>
      <w:numFmt w:val="bullet"/>
      <w:lvlText w:val=""/>
      <w:lvlJc w:val="left"/>
      <w:pPr>
        <w:ind w:left="26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4B64A5"/>
    <w:multiLevelType w:val="hybridMultilevel"/>
    <w:tmpl w:val="94981AE0"/>
    <w:lvl w:ilvl="0" w:tplc="3B4E9402">
      <w:start w:val="3"/>
      <w:numFmt w:val="bullet"/>
      <w:lvlText w:val=""/>
      <w:lvlJc w:val="left"/>
      <w:pPr>
        <w:ind w:left="5240" w:hanging="360"/>
      </w:pPr>
      <w:rPr>
        <w:rFonts w:ascii="Symbol" w:hAnsi="Symbol" w:hint="default"/>
      </w:rPr>
    </w:lvl>
    <w:lvl w:ilvl="1" w:tplc="04090003" w:tentative="1">
      <w:start w:val="1"/>
      <w:numFmt w:val="bullet"/>
      <w:lvlText w:val="o"/>
      <w:lvlJc w:val="left"/>
      <w:pPr>
        <w:ind w:left="4060" w:hanging="360"/>
      </w:pPr>
      <w:rPr>
        <w:rFonts w:ascii="Courier New" w:hAnsi="Courier New" w:hint="default"/>
      </w:rPr>
    </w:lvl>
    <w:lvl w:ilvl="2" w:tplc="04090005" w:tentative="1">
      <w:start w:val="1"/>
      <w:numFmt w:val="bullet"/>
      <w:lvlText w:val=""/>
      <w:lvlJc w:val="left"/>
      <w:pPr>
        <w:ind w:left="4780" w:hanging="360"/>
      </w:pPr>
      <w:rPr>
        <w:rFonts w:ascii="Wingdings" w:hAnsi="Wingdings" w:hint="default"/>
      </w:rPr>
    </w:lvl>
    <w:lvl w:ilvl="3" w:tplc="04090001">
      <w:start w:val="1"/>
      <w:numFmt w:val="bullet"/>
      <w:lvlText w:val=""/>
      <w:lvlJc w:val="left"/>
      <w:pPr>
        <w:ind w:left="5500" w:hanging="360"/>
      </w:pPr>
      <w:rPr>
        <w:rFonts w:ascii="Symbol" w:hAnsi="Symbol" w:hint="default"/>
      </w:rPr>
    </w:lvl>
    <w:lvl w:ilvl="4" w:tplc="04090003" w:tentative="1">
      <w:start w:val="1"/>
      <w:numFmt w:val="bullet"/>
      <w:lvlText w:val="o"/>
      <w:lvlJc w:val="left"/>
      <w:pPr>
        <w:ind w:left="6220" w:hanging="360"/>
      </w:pPr>
      <w:rPr>
        <w:rFonts w:ascii="Courier New" w:hAnsi="Courier New" w:hint="default"/>
      </w:rPr>
    </w:lvl>
    <w:lvl w:ilvl="5" w:tplc="04090005" w:tentative="1">
      <w:start w:val="1"/>
      <w:numFmt w:val="bullet"/>
      <w:lvlText w:val=""/>
      <w:lvlJc w:val="left"/>
      <w:pPr>
        <w:ind w:left="6940" w:hanging="360"/>
      </w:pPr>
      <w:rPr>
        <w:rFonts w:ascii="Wingdings" w:hAnsi="Wingdings" w:hint="default"/>
      </w:rPr>
    </w:lvl>
    <w:lvl w:ilvl="6" w:tplc="04090001" w:tentative="1">
      <w:start w:val="1"/>
      <w:numFmt w:val="bullet"/>
      <w:lvlText w:val=""/>
      <w:lvlJc w:val="left"/>
      <w:pPr>
        <w:ind w:left="7660" w:hanging="360"/>
      </w:pPr>
      <w:rPr>
        <w:rFonts w:ascii="Symbol" w:hAnsi="Symbol" w:hint="default"/>
      </w:rPr>
    </w:lvl>
    <w:lvl w:ilvl="7" w:tplc="04090003" w:tentative="1">
      <w:start w:val="1"/>
      <w:numFmt w:val="bullet"/>
      <w:lvlText w:val="o"/>
      <w:lvlJc w:val="left"/>
      <w:pPr>
        <w:ind w:left="8380" w:hanging="360"/>
      </w:pPr>
      <w:rPr>
        <w:rFonts w:ascii="Courier New" w:hAnsi="Courier New" w:hint="default"/>
      </w:rPr>
    </w:lvl>
    <w:lvl w:ilvl="8" w:tplc="04090005" w:tentative="1">
      <w:start w:val="1"/>
      <w:numFmt w:val="bullet"/>
      <w:lvlText w:val=""/>
      <w:lvlJc w:val="left"/>
      <w:pPr>
        <w:ind w:left="9100" w:hanging="360"/>
      </w:pPr>
      <w:rPr>
        <w:rFonts w:ascii="Wingdings" w:hAnsi="Wingdings" w:hint="default"/>
      </w:rPr>
    </w:lvl>
  </w:abstractNum>
  <w:abstractNum w:abstractNumId="36">
    <w:nsid w:val="6A1568AB"/>
    <w:multiLevelType w:val="hybridMultilevel"/>
    <w:tmpl w:val="8B0A90A8"/>
    <w:lvl w:ilvl="0" w:tplc="3F7256E2">
      <w:start w:val="3"/>
      <w:numFmt w:val="bullet"/>
      <w:lvlText w:val="-"/>
      <w:lvlJc w:val="left"/>
      <w:pPr>
        <w:ind w:left="4220" w:hanging="360"/>
      </w:pPr>
      <w:rPr>
        <w:rFonts w:ascii="Arial" w:eastAsiaTheme="minorHAnsi" w:hAnsi="Aria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D923633"/>
    <w:multiLevelType w:val="hybridMultilevel"/>
    <w:tmpl w:val="F840758E"/>
    <w:lvl w:ilvl="0" w:tplc="09184964">
      <w:start w:val="3"/>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738160C1"/>
    <w:multiLevelType w:val="hybridMultilevel"/>
    <w:tmpl w:val="EF84356A"/>
    <w:lvl w:ilvl="0" w:tplc="E924AE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6B37D1D"/>
    <w:multiLevelType w:val="hybridMultilevel"/>
    <w:tmpl w:val="513E3D5E"/>
    <w:lvl w:ilvl="0" w:tplc="E924AE1A">
      <w:start w:val="1"/>
      <w:numFmt w:val="lowerLetter"/>
      <w:lvlText w:val="%1."/>
      <w:lvlJc w:val="left"/>
      <w:pPr>
        <w:ind w:left="1080" w:hanging="360"/>
      </w:pPr>
      <w:rPr>
        <w:rFonts w:hint="default"/>
        <w:b w:val="0"/>
      </w:rPr>
    </w:lvl>
    <w:lvl w:ilvl="1" w:tplc="04090019">
      <w:start w:val="1"/>
      <w:numFmt w:val="bullet"/>
      <w:lvlText w:val=""/>
      <w:lvlJc w:val="left"/>
      <w:pPr>
        <w:ind w:left="1800" w:hanging="360"/>
      </w:pPr>
      <w:rPr>
        <w:rFonts w:ascii="Symbol" w:hAnsi="Symbol" w:hint="default"/>
      </w:rPr>
    </w:lvl>
    <w:lvl w:ilvl="2" w:tplc="8914353A">
      <w:start w:val="3"/>
      <w:numFmt w:val="bullet"/>
      <w:lvlText w:val=""/>
      <w:lvlJc w:val="left"/>
      <w:pPr>
        <w:ind w:left="2700" w:hanging="360"/>
      </w:pPr>
      <w:rPr>
        <w:rFonts w:ascii="Symbol" w:hAnsi="Symbol" w:hint="default"/>
      </w:rPr>
    </w:lvl>
    <w:lvl w:ilvl="3" w:tplc="1CFEB9C2">
      <w:start w:val="3"/>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A6B62B56">
      <w:start w:val="3"/>
      <w:numFmt w:val="bullet"/>
      <w:lvlText w:val=""/>
      <w:lvlJc w:val="left"/>
      <w:pPr>
        <w:ind w:left="4860" w:hanging="360"/>
      </w:pPr>
      <w:rPr>
        <w:rFonts w:ascii="Symbol" w:hAnsi="Symbol"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6"/>
  </w:num>
  <w:num w:numId="3">
    <w:abstractNumId w:val="30"/>
  </w:num>
  <w:num w:numId="4">
    <w:abstractNumId w:val="5"/>
  </w:num>
  <w:num w:numId="5">
    <w:abstractNumId w:val="3"/>
  </w:num>
  <w:num w:numId="6">
    <w:abstractNumId w:val="9"/>
  </w:num>
  <w:num w:numId="7">
    <w:abstractNumId w:val="21"/>
  </w:num>
  <w:num w:numId="8">
    <w:abstractNumId w:val="19"/>
  </w:num>
  <w:num w:numId="9">
    <w:abstractNumId w:val="0"/>
  </w:num>
  <w:num w:numId="10">
    <w:abstractNumId w:val="31"/>
  </w:num>
  <w:num w:numId="11">
    <w:abstractNumId w:val="14"/>
  </w:num>
  <w:num w:numId="12">
    <w:abstractNumId w:val="8"/>
  </w:num>
  <w:num w:numId="13">
    <w:abstractNumId w:val="38"/>
  </w:num>
  <w:num w:numId="14">
    <w:abstractNumId w:val="13"/>
  </w:num>
  <w:num w:numId="15">
    <w:abstractNumId w:val="39"/>
  </w:num>
  <w:num w:numId="16">
    <w:abstractNumId w:val="29"/>
  </w:num>
  <w:num w:numId="17">
    <w:abstractNumId w:val="4"/>
  </w:num>
  <w:num w:numId="18">
    <w:abstractNumId w:val="10"/>
  </w:num>
  <w:num w:numId="19">
    <w:abstractNumId w:val="18"/>
  </w:num>
  <w:num w:numId="20">
    <w:abstractNumId w:val="1"/>
  </w:num>
  <w:num w:numId="21">
    <w:abstractNumId w:val="24"/>
  </w:num>
  <w:num w:numId="22">
    <w:abstractNumId w:val="33"/>
  </w:num>
  <w:num w:numId="23">
    <w:abstractNumId w:val="11"/>
  </w:num>
  <w:num w:numId="24">
    <w:abstractNumId w:val="35"/>
  </w:num>
  <w:num w:numId="25">
    <w:abstractNumId w:val="20"/>
  </w:num>
  <w:num w:numId="26">
    <w:abstractNumId w:val="27"/>
  </w:num>
  <w:num w:numId="27">
    <w:abstractNumId w:val="25"/>
  </w:num>
  <w:num w:numId="28">
    <w:abstractNumId w:val="34"/>
  </w:num>
  <w:num w:numId="29">
    <w:abstractNumId w:val="32"/>
  </w:num>
  <w:num w:numId="30">
    <w:abstractNumId w:val="22"/>
  </w:num>
  <w:num w:numId="31">
    <w:abstractNumId w:val="23"/>
  </w:num>
  <w:num w:numId="32">
    <w:abstractNumId w:val="12"/>
  </w:num>
  <w:num w:numId="33">
    <w:abstractNumId w:val="36"/>
  </w:num>
  <w:num w:numId="34">
    <w:abstractNumId w:val="2"/>
  </w:num>
  <w:num w:numId="35">
    <w:abstractNumId w:val="7"/>
  </w:num>
  <w:num w:numId="36">
    <w:abstractNumId w:val="28"/>
  </w:num>
  <w:num w:numId="37">
    <w:abstractNumId w:val="15"/>
  </w:num>
  <w:num w:numId="38">
    <w:abstractNumId w:val="37"/>
  </w:num>
  <w:num w:numId="39">
    <w:abstractNumId w:val="1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72F3B"/>
    <w:rsid w:val="0000748F"/>
    <w:rsid w:val="00042B60"/>
    <w:rsid w:val="000A6A7B"/>
    <w:rsid w:val="001930D1"/>
    <w:rsid w:val="001A724F"/>
    <w:rsid w:val="0029432F"/>
    <w:rsid w:val="00295201"/>
    <w:rsid w:val="00345F99"/>
    <w:rsid w:val="003F3DED"/>
    <w:rsid w:val="0052658E"/>
    <w:rsid w:val="006C1D64"/>
    <w:rsid w:val="00742481"/>
    <w:rsid w:val="00760981"/>
    <w:rsid w:val="007C4AC5"/>
    <w:rsid w:val="00821590"/>
    <w:rsid w:val="00872F3B"/>
    <w:rsid w:val="00897C8E"/>
    <w:rsid w:val="00922859"/>
    <w:rsid w:val="00932BAD"/>
    <w:rsid w:val="00936F39"/>
    <w:rsid w:val="00987C0A"/>
    <w:rsid w:val="009D0110"/>
    <w:rsid w:val="00A02CC2"/>
    <w:rsid w:val="00A7000B"/>
    <w:rsid w:val="00AD03DC"/>
    <w:rsid w:val="00B76D6A"/>
    <w:rsid w:val="00B92C70"/>
    <w:rsid w:val="00BB7EA0"/>
    <w:rsid w:val="00BC77F4"/>
    <w:rsid w:val="00C0607E"/>
    <w:rsid w:val="00CA7112"/>
    <w:rsid w:val="00D15E30"/>
    <w:rsid w:val="00D35DBA"/>
    <w:rsid w:val="00D9426A"/>
    <w:rsid w:val="00DD4C93"/>
    <w:rsid w:val="00E52AA1"/>
    <w:rsid w:val="00E944CB"/>
    <w:rsid w:val="00EB1BDF"/>
    <w:rsid w:val="00EF386D"/>
    <w:rsid w:val="00F14228"/>
    <w:rsid w:val="00F60D41"/>
    <w:rsid w:val="00FA17BC"/>
    <w:rsid w:val="00FA690E"/>
    <w:rsid w:val="00FD69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D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F3B"/>
    <w:pPr>
      <w:ind w:left="720"/>
      <w:contextualSpacing/>
    </w:pPr>
  </w:style>
  <w:style w:type="paragraph" w:styleId="BalloonText">
    <w:name w:val="Balloon Text"/>
    <w:basedOn w:val="Normal"/>
    <w:link w:val="BalloonTextChar"/>
    <w:uiPriority w:val="99"/>
    <w:semiHidden/>
    <w:unhideWhenUsed/>
    <w:rsid w:val="006C1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D6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1333</Words>
  <Characters>7603</Characters>
  <Application>Microsoft Macintosh Word</Application>
  <DocSecurity>0</DocSecurity>
  <Lines>63</Lines>
  <Paragraphs>17</Paragraphs>
  <ScaleCrop>false</ScaleCrop>
  <Company>Temple Pharmacy School</Company>
  <LinksUpToDate>false</LinksUpToDate>
  <CharactersWithSpaces>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Leon Do</cp:lastModifiedBy>
  <cp:revision>24</cp:revision>
  <dcterms:created xsi:type="dcterms:W3CDTF">2012-03-08T17:42:00Z</dcterms:created>
  <dcterms:modified xsi:type="dcterms:W3CDTF">2012-03-09T01:54:00Z</dcterms:modified>
</cp:coreProperties>
</file>