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500" w:rsidRDefault="00A20F9A" w:rsidP="00467500">
      <w:pPr>
        <w:pStyle w:val="Heading2"/>
      </w:pPr>
      <w:r>
        <w:t xml:space="preserve">Lithium </w:t>
      </w:r>
      <w:r w:rsidR="00467500">
        <w:t>Cases</w:t>
      </w:r>
      <w:r>
        <w:t xml:space="preserve"> </w:t>
      </w:r>
    </w:p>
    <w:p w:rsidR="00467500" w:rsidRDefault="00467500" w:rsidP="00467500">
      <w:pPr>
        <w:rPr>
          <w:b/>
          <w:bCs/>
        </w:rPr>
      </w:pPr>
    </w:p>
    <w:p w:rsidR="00467500" w:rsidRDefault="00467500" w:rsidP="00467500">
      <w:pPr>
        <w:numPr>
          <w:ilvl w:val="0"/>
          <w:numId w:val="1"/>
        </w:numPr>
      </w:pPr>
      <w:r>
        <w:t>MJ is a 50-year old, 70 kg (5’10”) male with bipolar disease.  He is not currently experiencing an episode of acute mania.  His Scr = 0.9 mg/dL.  Your medicine team has asked you for an oral lithium dose for this patient for maintenance therapy.</w:t>
      </w:r>
    </w:p>
    <w:p w:rsidR="00467500" w:rsidRDefault="00467500" w:rsidP="00467500"/>
    <w:p w:rsidR="00467500" w:rsidRDefault="00467500" w:rsidP="00467500">
      <w:r>
        <w:rPr>
          <w:i/>
          <w:iCs/>
        </w:rPr>
        <w:t xml:space="preserve">Estimate Crcl: </w:t>
      </w:r>
      <w:r>
        <w:t xml:space="preserve"> [140-age x (BW)]/(72 x Scr) </w:t>
      </w:r>
    </w:p>
    <w:p w:rsidR="00467500" w:rsidRDefault="00467500" w:rsidP="00467500"/>
    <w:p w:rsidR="00467500" w:rsidRDefault="00467500" w:rsidP="00467500">
      <w:r>
        <w:t>[(140-50y) x 70 kg/ (72 x 0.9)]</w:t>
      </w:r>
    </w:p>
    <w:p w:rsidR="00467500" w:rsidRDefault="00467500" w:rsidP="00467500">
      <w:r>
        <w:t>Crcl (est) = 97 ml/min</w:t>
      </w:r>
    </w:p>
    <w:p w:rsidR="00467500" w:rsidRDefault="00467500" w:rsidP="00467500"/>
    <w:p w:rsidR="00467500" w:rsidRDefault="00467500" w:rsidP="00467500">
      <w:r>
        <w:rPr>
          <w:i/>
          <w:iCs/>
        </w:rPr>
        <w:t>Estimate lithium drug clearance</w:t>
      </w:r>
      <w:r>
        <w:t xml:space="preserve"> (L/day)</w:t>
      </w:r>
      <w:r>
        <w:rPr>
          <w:i/>
          <w:iCs/>
        </w:rPr>
        <w:t>:</w:t>
      </w:r>
      <w:r>
        <w:t xml:space="preserve">  Cl = 0.288 x (Crcl)</w:t>
      </w:r>
    </w:p>
    <w:p w:rsidR="00467500" w:rsidRDefault="00467500" w:rsidP="00467500">
      <w:r>
        <w:t>Use drug clearance vs crcl relationship to estimate Li clearance for this patient</w:t>
      </w:r>
    </w:p>
    <w:p w:rsidR="00467500" w:rsidRDefault="00467500" w:rsidP="00467500">
      <w:pPr>
        <w:tabs>
          <w:tab w:val="left" w:pos="7845"/>
        </w:tabs>
      </w:pPr>
      <w:r>
        <w:tab/>
      </w:r>
    </w:p>
    <w:p w:rsidR="00467500" w:rsidRDefault="00467500" w:rsidP="00467500">
      <w:r>
        <w:t>Cl = (0.288 x 97 ml/min) = 27.9 L/day</w:t>
      </w:r>
    </w:p>
    <w:p w:rsidR="00467500" w:rsidRDefault="00467500" w:rsidP="00467500"/>
    <w:p w:rsidR="00467500" w:rsidRDefault="00467500" w:rsidP="00467500">
      <w:r>
        <w:rPr>
          <w:i/>
          <w:iCs/>
        </w:rPr>
        <w:t>Use average SS concentration equation to calculate Li maintenance dose</w:t>
      </w:r>
      <w:r>
        <w:t>.</w:t>
      </w:r>
    </w:p>
    <w:p w:rsidR="00467500" w:rsidRDefault="00467500" w:rsidP="00467500">
      <w:r>
        <w:t>(desired conc for maintenance therapy = 0.6 mmol/L)</w:t>
      </w:r>
    </w:p>
    <w:p w:rsidR="00467500" w:rsidRDefault="00467500" w:rsidP="00467500"/>
    <w:p w:rsidR="00467500" w:rsidRDefault="00467500" w:rsidP="00467500">
      <w:r>
        <w:t>D/</w:t>
      </w:r>
      <w:r>
        <w:sym w:font="Symbol" w:char="F074"/>
      </w:r>
      <w:r>
        <w:t xml:space="preserve">  = (Css x Cl)/F</w:t>
      </w:r>
    </w:p>
    <w:p w:rsidR="00467500" w:rsidRDefault="00467500" w:rsidP="00467500"/>
    <w:p w:rsidR="00467500" w:rsidRDefault="00467500" w:rsidP="00467500">
      <w:r>
        <w:t>D/</w:t>
      </w:r>
      <w:r>
        <w:sym w:font="Symbol" w:char="F074"/>
      </w:r>
      <w:r>
        <w:t xml:space="preserve">  = (0.6 mmol/L x 27.9 L/d)/1 = 16.7 mmol/day</w:t>
      </w:r>
    </w:p>
    <w:p w:rsidR="00467500" w:rsidRDefault="00467500" w:rsidP="00467500"/>
    <w:p w:rsidR="00467500" w:rsidRDefault="00467500" w:rsidP="00467500">
      <w:r>
        <w:t>D/</w:t>
      </w:r>
      <w:r>
        <w:sym w:font="Symbol" w:char="F074"/>
      </w:r>
      <w:r>
        <w:t xml:space="preserve">  = 300 mg Li carb/8.12 mmol Li x 16.7 mmol/day = 617 mg/day</w:t>
      </w:r>
    </w:p>
    <w:p w:rsidR="00467500" w:rsidRDefault="00467500" w:rsidP="00467500"/>
    <w:p w:rsidR="00467500" w:rsidRDefault="00467500" w:rsidP="00467500">
      <w:r>
        <w:t xml:space="preserve">Rounded to 600 mg /day </w:t>
      </w:r>
      <w:r>
        <w:sym w:font="Wingdings" w:char="F0E0"/>
      </w:r>
      <w:r>
        <w:t xml:space="preserve"> 300 mg lithium carbonate CR po every 12 hours</w:t>
      </w:r>
    </w:p>
    <w:p w:rsidR="00467500" w:rsidRDefault="00467500" w:rsidP="00467500"/>
    <w:p w:rsidR="00467500" w:rsidRDefault="00467500" w:rsidP="00467500">
      <w:r>
        <w:t>Monitoring: Measure serum concentrations every 2-3 days in patients predisposed to lithium toxicity.  Once desired SS concentration achieved, recheck every 1-2 weeks for ~2 months or until concentrations have stabilized</w:t>
      </w:r>
      <w:r w:rsidR="00DD0BD2">
        <w:t xml:space="preserve">, then maintenance every 3-6 months.  </w:t>
      </w:r>
      <w:r>
        <w:t>Monitor for development of common SE/toxicities.</w:t>
      </w:r>
    </w:p>
    <w:p w:rsidR="00467500" w:rsidRDefault="00467500" w:rsidP="00467500"/>
    <w:p w:rsidR="00467500" w:rsidRDefault="00467500" w:rsidP="00467500"/>
    <w:p w:rsidR="00467500" w:rsidRDefault="00467500" w:rsidP="00467500"/>
    <w:p w:rsidR="00467500" w:rsidRDefault="00467500" w:rsidP="00467500">
      <w:pPr>
        <w:numPr>
          <w:ilvl w:val="0"/>
          <w:numId w:val="1"/>
        </w:numPr>
      </w:pPr>
      <w:r>
        <w:t>Same patient as in #1, but his Scr = 3.5 mg/dL</w:t>
      </w:r>
    </w:p>
    <w:p w:rsidR="00467500" w:rsidRDefault="00467500" w:rsidP="00467500"/>
    <w:p w:rsidR="00467500" w:rsidRDefault="00467500" w:rsidP="00467500"/>
    <w:p w:rsidR="00467500" w:rsidRDefault="00467500" w:rsidP="00467500">
      <w:r>
        <w:rPr>
          <w:i/>
          <w:iCs/>
        </w:rPr>
        <w:t xml:space="preserve">Estimate Crcl: </w:t>
      </w:r>
      <w:r>
        <w:t xml:space="preserve"> [140-age x (BW)]/(72 x Scr)</w:t>
      </w:r>
    </w:p>
    <w:p w:rsidR="00467500" w:rsidRDefault="00467500" w:rsidP="00467500"/>
    <w:p w:rsidR="00467500" w:rsidRDefault="00467500" w:rsidP="00467500">
      <w:r>
        <w:t>Crcl</w:t>
      </w:r>
      <w:r>
        <w:rPr>
          <w:vertAlign w:val="subscript"/>
        </w:rPr>
        <w:t>est</w:t>
      </w:r>
      <w:r>
        <w:t xml:space="preserve"> = [(140-50 y) x 70 kg]/ (72 x 3.5 mg/dL) = 25 ml/min</w:t>
      </w:r>
    </w:p>
    <w:p w:rsidR="00467500" w:rsidRDefault="00467500" w:rsidP="00467500">
      <w:pPr>
        <w:rPr>
          <w:i/>
          <w:iCs/>
        </w:rPr>
      </w:pPr>
    </w:p>
    <w:p w:rsidR="00467500" w:rsidRDefault="00467500" w:rsidP="00467500">
      <w:r>
        <w:rPr>
          <w:i/>
          <w:iCs/>
        </w:rPr>
        <w:t>Estimate lithium drug clearance</w:t>
      </w:r>
      <w:r>
        <w:t xml:space="preserve"> (L/day)</w:t>
      </w:r>
      <w:r>
        <w:rPr>
          <w:i/>
          <w:iCs/>
        </w:rPr>
        <w:t>:</w:t>
      </w:r>
      <w:r>
        <w:t xml:space="preserve">  Cl = 0.288 x (Crcl)</w:t>
      </w:r>
    </w:p>
    <w:p w:rsidR="00467500" w:rsidRDefault="00467500" w:rsidP="00467500"/>
    <w:p w:rsidR="00467500" w:rsidRDefault="00467500" w:rsidP="00467500">
      <w:r>
        <w:t>Cl = 0.288 x 25 ml/min = 7.2 L/day</w:t>
      </w:r>
    </w:p>
    <w:p w:rsidR="00467500" w:rsidRDefault="00467500" w:rsidP="00467500"/>
    <w:p w:rsidR="00467500" w:rsidRDefault="00467500" w:rsidP="00467500">
      <w:pPr>
        <w:rPr>
          <w:i/>
          <w:iCs/>
        </w:rPr>
      </w:pPr>
      <w:r>
        <w:rPr>
          <w:i/>
          <w:iCs/>
        </w:rPr>
        <w:t>Use average SS concentration equation to calculate Li maintenance dose</w:t>
      </w:r>
    </w:p>
    <w:p w:rsidR="00467500" w:rsidRDefault="00467500" w:rsidP="00467500"/>
    <w:p w:rsidR="00467500" w:rsidRDefault="00467500" w:rsidP="00467500">
      <w:r>
        <w:t>D/</w:t>
      </w:r>
      <w:r>
        <w:sym w:font="Symbol" w:char="F074"/>
      </w:r>
      <w:r>
        <w:t xml:space="preserve">  = (Css x Cl)/F</w:t>
      </w:r>
    </w:p>
    <w:p w:rsidR="00467500" w:rsidRDefault="00467500" w:rsidP="00467500">
      <w:r>
        <w:t>D/</w:t>
      </w:r>
      <w:r>
        <w:sym w:font="Symbol" w:char="F074"/>
      </w:r>
      <w:r>
        <w:t xml:space="preserve">  = (0.6 mmol/L x 7.2 L/day)/1 = 4.3 mmol/day</w:t>
      </w:r>
    </w:p>
    <w:p w:rsidR="00467500" w:rsidRDefault="00467500" w:rsidP="00467500"/>
    <w:p w:rsidR="00467500" w:rsidRDefault="00467500" w:rsidP="00467500">
      <w:r>
        <w:t>D/</w:t>
      </w:r>
      <w:r>
        <w:sym w:font="Symbol" w:char="F074"/>
      </w:r>
      <w:r>
        <w:t xml:space="preserve">  = 300 mg Li carb/8.12 mmol Li x 4.3 mmol/day = 159 mg/d</w:t>
      </w:r>
    </w:p>
    <w:p w:rsidR="00467500" w:rsidRDefault="00467500" w:rsidP="00467500"/>
    <w:p w:rsidR="00467500" w:rsidRDefault="00467500" w:rsidP="00467500">
      <w:r>
        <w:t xml:space="preserve">Rounded to 150 mg/day </w:t>
      </w:r>
      <w:r>
        <w:sym w:font="Wingdings" w:char="F0E0"/>
      </w:r>
      <w:r>
        <w:t xml:space="preserve"> 150 mg lithium carbonate po daily</w:t>
      </w:r>
    </w:p>
    <w:p w:rsidR="00467500" w:rsidRDefault="00467500" w:rsidP="00467500"/>
    <w:p w:rsidR="00467500" w:rsidRDefault="00467500" w:rsidP="00467500">
      <w:r>
        <w:t>Monitoring: Measure serum concentrations every 2-3 days in patients predisposed to lithium toxicity.  Once desired SS concentration achieved, recheck every 1-2 weeks for ~2 months or until concentrations have stabilized.  Monitor for development of common SE/toxicities.</w:t>
      </w:r>
    </w:p>
    <w:p w:rsidR="00467500" w:rsidRDefault="00467500" w:rsidP="00467500"/>
    <w:p w:rsidR="00467500" w:rsidRDefault="00467500" w:rsidP="00467500"/>
    <w:p w:rsidR="00467500" w:rsidRDefault="00467500" w:rsidP="00467500">
      <w:pPr>
        <w:numPr>
          <w:ilvl w:val="0"/>
          <w:numId w:val="1"/>
        </w:numPr>
      </w:pPr>
      <w:r>
        <w:t xml:space="preserve">KR is a 21-year old, 70 kg (5’9”) female with bipolar disease.  She needs lithium therapy and is currently experiencing an </w:t>
      </w:r>
      <w:r w:rsidRPr="000C2219">
        <w:rPr>
          <w:b/>
        </w:rPr>
        <w:t>acute manic phase</w:t>
      </w:r>
      <w:r>
        <w:t>. Her Scr = 0.8 mg/dL.  Suggest an initial lithium carbonate dosage regimen to achieve a SS lithium concentration of 0.8 mmol/L.</w:t>
      </w:r>
    </w:p>
    <w:p w:rsidR="00467500" w:rsidRDefault="00467500" w:rsidP="00467500"/>
    <w:p w:rsidR="00467500" w:rsidRDefault="00467500" w:rsidP="00467500">
      <w:r>
        <w:rPr>
          <w:i/>
          <w:iCs/>
        </w:rPr>
        <w:t xml:space="preserve">Estimate Crcl: </w:t>
      </w:r>
      <w:r>
        <w:t xml:space="preserve"> [140-age x (BW)]/(72 x Scr) </w:t>
      </w:r>
    </w:p>
    <w:p w:rsidR="00467500" w:rsidRDefault="00467500" w:rsidP="00467500"/>
    <w:p w:rsidR="00467500" w:rsidRDefault="00467500" w:rsidP="00467500">
      <w:r>
        <w:t xml:space="preserve">[(140-21) x 70]/(72 x 0.8) x 0.85 </w:t>
      </w:r>
    </w:p>
    <w:p w:rsidR="00467500" w:rsidRDefault="00467500" w:rsidP="00467500"/>
    <w:p w:rsidR="00467500" w:rsidRPr="00204DB7" w:rsidRDefault="00467500" w:rsidP="00467500">
      <w:r>
        <w:t>Crcl</w:t>
      </w:r>
      <w:r>
        <w:rPr>
          <w:vertAlign w:val="subscript"/>
        </w:rPr>
        <w:t>est</w:t>
      </w:r>
      <w:r>
        <w:t xml:space="preserve"> = 123 ml/min</w:t>
      </w:r>
    </w:p>
    <w:p w:rsidR="00467500" w:rsidRDefault="00467500" w:rsidP="00467500"/>
    <w:p w:rsidR="00467500" w:rsidRDefault="00467500" w:rsidP="00467500">
      <w:r>
        <w:rPr>
          <w:i/>
          <w:iCs/>
        </w:rPr>
        <w:t>Estimate lithium drug clearance</w:t>
      </w:r>
      <w:r>
        <w:t xml:space="preserve"> (L/day)</w:t>
      </w:r>
      <w:r>
        <w:rPr>
          <w:i/>
          <w:iCs/>
        </w:rPr>
        <w:t>:</w:t>
      </w:r>
      <w:r>
        <w:t xml:space="preserve">  </w:t>
      </w:r>
      <w:r w:rsidRPr="000C2219">
        <w:rPr>
          <w:b/>
        </w:rPr>
        <w:t>Cl = 0.432 x (Crcl)</w:t>
      </w:r>
    </w:p>
    <w:p w:rsidR="00467500" w:rsidRDefault="00467500" w:rsidP="00467500">
      <w:r>
        <w:t>Use drug clearance vs. crcl relationship to estimate Li clearance for this patient</w:t>
      </w:r>
    </w:p>
    <w:p w:rsidR="00467500" w:rsidRDefault="00467500" w:rsidP="00467500"/>
    <w:p w:rsidR="00467500" w:rsidRDefault="00467500" w:rsidP="00467500">
      <w:r>
        <w:t>Cl = 0.432 x 123 ml/min = 53.1 L/day</w:t>
      </w:r>
    </w:p>
    <w:p w:rsidR="00467500" w:rsidRDefault="00467500" w:rsidP="00467500"/>
    <w:p w:rsidR="00467500" w:rsidRDefault="00467500" w:rsidP="00467500"/>
    <w:p w:rsidR="00467500" w:rsidRDefault="00467500" w:rsidP="00467500">
      <w:r>
        <w:rPr>
          <w:i/>
          <w:iCs/>
        </w:rPr>
        <w:t>Use average SS concentration equation to calculate Li maintenance dose</w:t>
      </w:r>
      <w:r>
        <w:t>.</w:t>
      </w:r>
    </w:p>
    <w:p w:rsidR="00467500" w:rsidRDefault="00467500" w:rsidP="00467500">
      <w:r>
        <w:t>(acute mania desired conc = 0.8-1)</w:t>
      </w:r>
    </w:p>
    <w:p w:rsidR="00467500" w:rsidRDefault="00467500" w:rsidP="00467500"/>
    <w:p w:rsidR="00467500" w:rsidRDefault="00467500" w:rsidP="00467500">
      <w:r>
        <w:t>D/</w:t>
      </w:r>
      <w:r>
        <w:sym w:font="Symbol" w:char="F074"/>
      </w:r>
      <w:r>
        <w:t xml:space="preserve">  = (Css x Cl)/F</w:t>
      </w:r>
    </w:p>
    <w:p w:rsidR="00467500" w:rsidRDefault="00467500" w:rsidP="00467500">
      <w:r>
        <w:t>D/</w:t>
      </w:r>
      <w:r>
        <w:sym w:font="Symbol" w:char="F074"/>
      </w:r>
      <w:r>
        <w:t xml:space="preserve">  = (0.8 mmol/L x 53.1 L/d)/1 = 42.5 mmol/day</w:t>
      </w:r>
    </w:p>
    <w:p w:rsidR="00467500" w:rsidRDefault="00467500" w:rsidP="00467500"/>
    <w:p w:rsidR="00467500" w:rsidRDefault="00467500" w:rsidP="00467500">
      <w:r>
        <w:t>D/</w:t>
      </w:r>
      <w:r>
        <w:sym w:font="Symbol" w:char="F074"/>
      </w:r>
      <w:r>
        <w:t xml:space="preserve">  = 300 mg Li carb/8.12 mmol Li x 42.5 mmol/day = 1570 mg/day</w:t>
      </w:r>
    </w:p>
    <w:p w:rsidR="00467500" w:rsidRDefault="00467500" w:rsidP="00467500"/>
    <w:p w:rsidR="00467500" w:rsidRDefault="00467500" w:rsidP="00467500">
      <w:r>
        <w:t xml:space="preserve">Round to 1500 mg/day </w:t>
      </w:r>
      <w:r>
        <w:sym w:font="Wingdings" w:char="F0E0"/>
      </w:r>
      <w:r>
        <w:t xml:space="preserve"> 600 mg of lithium carbonate IR at 8 am and 8 pm and 300 mg at 2 pm</w:t>
      </w:r>
    </w:p>
    <w:p w:rsidR="00467500" w:rsidRDefault="00467500" w:rsidP="00467500"/>
    <w:p w:rsidR="00467500" w:rsidRDefault="00467500" w:rsidP="00467500">
      <w:r>
        <w:t xml:space="preserve">Upon initiation of therapy, measure Li concentration every 2-3 days for safety.  Once SS achieved, measure every 1-2 weeks for ~ 2 months until stabilized. Reassess current </w:t>
      </w:r>
      <w:r>
        <w:lastRenderedPageBreak/>
        <w:t>dose once manic phase has subsided; Her dose may need to b</w:t>
      </w:r>
      <w:r w:rsidR="00DD0BD2">
        <w:t>e adjusted because her lithium clearance will likely return to baseline values after the manic phase.</w:t>
      </w:r>
    </w:p>
    <w:p w:rsidR="00467500" w:rsidRDefault="00467500" w:rsidP="00467500"/>
    <w:p w:rsidR="00467500" w:rsidRDefault="00467500" w:rsidP="00467500"/>
    <w:p w:rsidR="00467500" w:rsidRDefault="00467500" w:rsidP="00467500"/>
    <w:p w:rsidR="00467500" w:rsidRDefault="00467500" w:rsidP="00467500">
      <w:pPr>
        <w:numPr>
          <w:ilvl w:val="0"/>
          <w:numId w:val="1"/>
        </w:numPr>
      </w:pPr>
      <w:r>
        <w:t>YC is a 37-year old, 55 kg (5’1”) female with bipolar disease.  She is currently not experiencing an acute manic episode and requires treatment with lithium.  Her Scr = 0.6 mg/dL.  She is receiving 900 mg of lithium carbonate at 0800, 1400, and 2000 (8am, 2pm, 8pm), and her 12-hr postdose steady-state lithium serum concentration equals 1.1 mmol/L.  Calculate her new lithium dose to achieve a SS concentration of 0.6 mmol/L.</w:t>
      </w:r>
    </w:p>
    <w:p w:rsidR="00467500" w:rsidRDefault="00467500" w:rsidP="00467500"/>
    <w:p w:rsidR="00467500" w:rsidRDefault="00467500" w:rsidP="00467500">
      <w:pPr>
        <w:pStyle w:val="Heading3"/>
      </w:pPr>
      <w:r>
        <w:t>Calculate new dose to achieve desired serum concentration</w:t>
      </w:r>
    </w:p>
    <w:p w:rsidR="00467500" w:rsidRDefault="00467500" w:rsidP="00467500"/>
    <w:p w:rsidR="00467500" w:rsidRDefault="00467500" w:rsidP="00467500">
      <w:r>
        <w:t>Linear, dose-proportional PK – ss concentrations change in proportion to dose</w:t>
      </w:r>
    </w:p>
    <w:p w:rsidR="00467500" w:rsidRDefault="00467500" w:rsidP="00467500"/>
    <w:p w:rsidR="00467500" w:rsidRDefault="00467500" w:rsidP="00467500">
      <w:r>
        <w:t>D</w:t>
      </w:r>
      <w:r>
        <w:rPr>
          <w:vertAlign w:val="subscript"/>
        </w:rPr>
        <w:t>new</w:t>
      </w:r>
      <w:r>
        <w:t>/C</w:t>
      </w:r>
      <w:r>
        <w:rPr>
          <w:vertAlign w:val="subscript"/>
        </w:rPr>
        <w:t xml:space="preserve">ss, new </w:t>
      </w:r>
      <w:r>
        <w:t>= D</w:t>
      </w:r>
      <w:r>
        <w:rPr>
          <w:vertAlign w:val="subscript"/>
        </w:rPr>
        <w:t>old</w:t>
      </w:r>
      <w:r>
        <w:t>/</w:t>
      </w:r>
      <w:r w:rsidR="006A4EAD">
        <w:t>C</w:t>
      </w:r>
      <w:r w:rsidR="006A4EAD">
        <w:rPr>
          <w:vertAlign w:val="subscript"/>
        </w:rPr>
        <w:t>ss, old</w:t>
      </w:r>
    </w:p>
    <w:p w:rsidR="00467500" w:rsidRDefault="00467500" w:rsidP="00467500"/>
    <w:p w:rsidR="00467500" w:rsidRDefault="00467500" w:rsidP="00467500">
      <w:pPr>
        <w:rPr>
          <w:vertAlign w:val="subscript"/>
        </w:rPr>
      </w:pPr>
      <w:r>
        <w:t>D</w:t>
      </w:r>
      <w:r>
        <w:rPr>
          <w:vertAlign w:val="subscript"/>
        </w:rPr>
        <w:t xml:space="preserve">new  </w:t>
      </w:r>
      <w:r>
        <w:t>= (C</w:t>
      </w:r>
      <w:r>
        <w:rPr>
          <w:vertAlign w:val="subscript"/>
        </w:rPr>
        <w:t xml:space="preserve">ss, new </w:t>
      </w:r>
      <w:r>
        <w:t>/</w:t>
      </w:r>
      <w:r w:rsidR="006A4EAD">
        <w:t>C</w:t>
      </w:r>
      <w:r w:rsidR="006A4EAD">
        <w:rPr>
          <w:vertAlign w:val="subscript"/>
        </w:rPr>
        <w:t>ss, old</w:t>
      </w:r>
      <w:r>
        <w:rPr>
          <w:vertAlign w:val="subscript"/>
        </w:rPr>
        <w:t xml:space="preserve"> </w:t>
      </w:r>
      <w:r>
        <w:t>) x  D</w:t>
      </w:r>
      <w:r>
        <w:rPr>
          <w:vertAlign w:val="subscript"/>
        </w:rPr>
        <w:t>old</w:t>
      </w:r>
    </w:p>
    <w:p w:rsidR="00467500" w:rsidRDefault="00467500" w:rsidP="00467500"/>
    <w:p w:rsidR="00467500" w:rsidRDefault="00467500" w:rsidP="00467500">
      <w:r>
        <w:t>D</w:t>
      </w:r>
      <w:r>
        <w:rPr>
          <w:vertAlign w:val="subscript"/>
        </w:rPr>
        <w:t xml:space="preserve">new  </w:t>
      </w:r>
      <w:r>
        <w:t>= (0.6 mmol/L/1.1 mmol/L) x 2700 mg/day = 1473 mg</w:t>
      </w:r>
    </w:p>
    <w:p w:rsidR="00467500" w:rsidRDefault="00467500" w:rsidP="00467500"/>
    <w:p w:rsidR="00467500" w:rsidRDefault="00467500" w:rsidP="00467500">
      <w:r>
        <w:t>Rounded to 1500 mg/day.</w:t>
      </w:r>
    </w:p>
    <w:p w:rsidR="00467500" w:rsidRDefault="00467500" w:rsidP="00467500"/>
    <w:p w:rsidR="00467500" w:rsidRDefault="00467500" w:rsidP="00467500">
      <w:r>
        <w:t>The patient would be administered 600 mg of lithium carbonate IR at 8am and 8pm, and 300 mg of lithium carbonate at 2 pm.</w:t>
      </w:r>
    </w:p>
    <w:p w:rsidR="00467500" w:rsidRDefault="00467500" w:rsidP="00467500"/>
    <w:p w:rsidR="00467500" w:rsidRDefault="00467500" w:rsidP="00467500">
      <w:r>
        <w:t>When lithium dosage changes are needed, serum concentrations sho</w:t>
      </w:r>
      <w:r w:rsidR="000C2219">
        <w:t>uld be measured within 3-5 days (~ 1 week)</w:t>
      </w:r>
      <w:r>
        <w:t xml:space="preserve"> after the change.  During lithium maintenance therapy, SS lithium concentrations should be repeated every 3-6 months.  This time period can be every 6-12 months for patients with stable mood or every 1-2 months for patients with frequent mood alterations.</w:t>
      </w:r>
    </w:p>
    <w:p w:rsidR="00467500" w:rsidRDefault="00467500" w:rsidP="00467500"/>
    <w:p w:rsidR="00467500" w:rsidRDefault="00467500" w:rsidP="00467500"/>
    <w:p w:rsidR="00467500" w:rsidRDefault="00467500" w:rsidP="00467500">
      <w:pPr>
        <w:pStyle w:val="ListParagraph"/>
        <w:numPr>
          <w:ilvl w:val="0"/>
          <w:numId w:val="1"/>
        </w:numPr>
        <w:contextualSpacing w:val="0"/>
      </w:pPr>
      <w:r>
        <w:t>MC is a 55-year old woman receiving lithium carbonate 300 mg po bid.  At 11:30 am her blood was drawn and the plasma lithium concentration was re</w:t>
      </w:r>
      <w:r w:rsidR="00A20F9A">
        <w:t xml:space="preserve">ported to be 2.7 mEq/L.  List possible </w:t>
      </w:r>
      <w:r>
        <w:t xml:space="preserve">reasons </w:t>
      </w:r>
      <w:r w:rsidR="00A20F9A">
        <w:t xml:space="preserve">why her lithium serum concentration </w:t>
      </w:r>
      <w:r>
        <w:t>may be elevated and discuss how MC should be managed.</w:t>
      </w:r>
      <w:r w:rsidR="00A20F9A">
        <w:t xml:space="preserve">  </w:t>
      </w:r>
    </w:p>
    <w:p w:rsidR="00A20F9A" w:rsidRDefault="00A20F9A" w:rsidP="00A20F9A">
      <w:pPr>
        <w:pStyle w:val="ListParagraph"/>
        <w:contextualSpacing w:val="0"/>
      </w:pPr>
    </w:p>
    <w:p w:rsidR="00467500" w:rsidRDefault="00467500" w:rsidP="00467500">
      <w:pPr>
        <w:pStyle w:val="ListParagraph"/>
        <w:numPr>
          <w:ilvl w:val="0"/>
          <w:numId w:val="2"/>
        </w:numPr>
        <w:contextualSpacing w:val="0"/>
      </w:pPr>
      <w:r>
        <w:t xml:space="preserve">Level </w:t>
      </w:r>
      <w:r w:rsidR="00A20F9A">
        <w:t xml:space="preserve">was </w:t>
      </w:r>
      <w:r>
        <w:t xml:space="preserve">obtained during </w:t>
      </w:r>
      <w:r w:rsidR="00A20F9A">
        <w:t xml:space="preserve">the </w:t>
      </w:r>
      <w:r>
        <w:t>distribution phase (&lt; 12 hrs from last dose)</w:t>
      </w:r>
    </w:p>
    <w:p w:rsidR="00A20F9A" w:rsidRDefault="00A20F9A" w:rsidP="00467500">
      <w:pPr>
        <w:pStyle w:val="ListParagraph"/>
        <w:numPr>
          <w:ilvl w:val="0"/>
          <w:numId w:val="2"/>
        </w:numPr>
        <w:contextualSpacing w:val="0"/>
      </w:pPr>
      <w:r>
        <w:t xml:space="preserve">Drug hasn’t been </w:t>
      </w:r>
      <w:r w:rsidR="00750129">
        <w:t xml:space="preserve">on board for ~ </w:t>
      </w:r>
      <w:r>
        <w:t>3-5 days, so this isn’t a SS concentration</w:t>
      </w:r>
    </w:p>
    <w:p w:rsidR="00467500" w:rsidRDefault="00467500" w:rsidP="00467500">
      <w:pPr>
        <w:pStyle w:val="ListParagraph"/>
        <w:numPr>
          <w:ilvl w:val="0"/>
          <w:numId w:val="2"/>
        </w:numPr>
        <w:contextualSpacing w:val="0"/>
      </w:pPr>
      <w:r>
        <w:t>Over-compliance (confusion</w:t>
      </w:r>
      <w:r w:rsidR="00326944">
        <w:t xml:space="preserve"> with regimen</w:t>
      </w:r>
      <w:r>
        <w:t>/administration of extra doses)</w:t>
      </w:r>
    </w:p>
    <w:p w:rsidR="00467500" w:rsidRDefault="00467500" w:rsidP="00467500">
      <w:pPr>
        <w:pStyle w:val="ListParagraph"/>
        <w:numPr>
          <w:ilvl w:val="0"/>
          <w:numId w:val="2"/>
        </w:numPr>
        <w:contextualSpacing w:val="0"/>
      </w:pPr>
      <w:r>
        <w:t>Drug interactions (thiazides, NSAIDs, ACEIs)</w:t>
      </w:r>
    </w:p>
    <w:p w:rsidR="00467500" w:rsidRDefault="00467500" w:rsidP="00467500">
      <w:pPr>
        <w:pStyle w:val="ListParagraph"/>
        <w:numPr>
          <w:ilvl w:val="0"/>
          <w:numId w:val="2"/>
        </w:numPr>
        <w:contextualSpacing w:val="0"/>
      </w:pPr>
      <w:r>
        <w:t>Renal insufficiency</w:t>
      </w:r>
    </w:p>
    <w:p w:rsidR="00467500" w:rsidRDefault="00467500" w:rsidP="00467500">
      <w:pPr>
        <w:pStyle w:val="ListParagraph"/>
        <w:numPr>
          <w:ilvl w:val="0"/>
          <w:numId w:val="2"/>
        </w:numPr>
        <w:contextualSpacing w:val="0"/>
      </w:pPr>
      <w:r>
        <w:t>Dehydration</w:t>
      </w:r>
      <w:r w:rsidR="006A4EAD">
        <w:t xml:space="preserve"> state</w:t>
      </w:r>
      <w:bookmarkStart w:id="0" w:name="_GoBack"/>
      <w:bookmarkEnd w:id="0"/>
    </w:p>
    <w:p w:rsidR="00467500" w:rsidRDefault="00467500" w:rsidP="00467500">
      <w:pPr>
        <w:pStyle w:val="ListParagraph"/>
        <w:numPr>
          <w:ilvl w:val="0"/>
          <w:numId w:val="2"/>
        </w:numPr>
        <w:contextualSpacing w:val="0"/>
      </w:pPr>
      <w:r>
        <w:lastRenderedPageBreak/>
        <w:t>Sodium depletion</w:t>
      </w:r>
    </w:p>
    <w:p w:rsidR="00467500" w:rsidRDefault="00467500" w:rsidP="00467500"/>
    <w:p w:rsidR="00A20F9A" w:rsidRDefault="00A20F9A" w:rsidP="00A20F9A">
      <w:pPr>
        <w:pStyle w:val="ListParagraph"/>
        <w:contextualSpacing w:val="0"/>
      </w:pPr>
      <w:r>
        <w:t>What questions would you ask?</w:t>
      </w:r>
    </w:p>
    <w:p w:rsidR="00A20F9A" w:rsidRDefault="00A20F9A" w:rsidP="00467500"/>
    <w:p w:rsidR="00467500" w:rsidRDefault="00E46A0D" w:rsidP="00467500">
      <w:r>
        <w:t xml:space="preserve">Interpretation of this serum concentration </w:t>
      </w:r>
      <w:r w:rsidR="00467500">
        <w:t>is important as clinicians – First, you would want to confirm the timing of patient’s last dose and timing of the lab sample to ens</w:t>
      </w:r>
      <w:r>
        <w:t xml:space="preserve">ure that complete distribution has occurred (12 hours have elapsed), as well as how long (how many days) the patient has been taking this regimen of 300 mg po BID (SS achieved?).  </w:t>
      </w:r>
      <w:r w:rsidR="006A4EAD">
        <w:t xml:space="preserve">A thorough review of pertinent </w:t>
      </w:r>
      <w:r w:rsidR="00A20F9A">
        <w:t>laboratory data</w:t>
      </w:r>
      <w:r w:rsidR="006A4EAD">
        <w:t xml:space="preserve">, </w:t>
      </w:r>
      <w:r w:rsidR="00750129">
        <w:t xml:space="preserve">current </w:t>
      </w:r>
      <w:r w:rsidR="00A20F9A">
        <w:t xml:space="preserve">medications, </w:t>
      </w:r>
      <w:r w:rsidR="00750129">
        <w:t xml:space="preserve">adherence (timing of lithium), </w:t>
      </w:r>
      <w:r w:rsidR="00A20F9A">
        <w:t>diet</w:t>
      </w:r>
      <w:r>
        <w:t>/exercise</w:t>
      </w:r>
      <w:r w:rsidR="00A20F9A">
        <w:t xml:space="preserve"> (sodium-related), </w:t>
      </w:r>
      <w:r>
        <w:t xml:space="preserve">presence of </w:t>
      </w:r>
      <w:r w:rsidR="00750129">
        <w:t>manic sympt</w:t>
      </w:r>
      <w:r w:rsidR="006A4EAD">
        <w:t xml:space="preserve">oms, etc. </w:t>
      </w:r>
      <w:r w:rsidR="00750129">
        <w:t xml:space="preserve">would be important also.  </w:t>
      </w:r>
      <w:r w:rsidR="00467500">
        <w:t>If t</w:t>
      </w:r>
      <w:r>
        <w:t xml:space="preserve">he level was drawn at the appropriate </w:t>
      </w:r>
      <w:r w:rsidR="00467500">
        <w:t xml:space="preserve">time, the next step would be to assess MC’s clinical presentation.  You would expect to see signs of toxicity (coarse tremor, </w:t>
      </w:r>
      <w:r>
        <w:t xml:space="preserve">agitation, </w:t>
      </w:r>
      <w:r w:rsidR="00467500">
        <w:t>confusion, ataxia</w:t>
      </w:r>
      <w:r w:rsidR="00A20F9A">
        <w:t>, GI effects</w:t>
      </w:r>
      <w:r w:rsidR="00467500">
        <w:t>).  If there are no signs of toxicity, it is likely that the lithium sample was obtained during the distribu</w:t>
      </w:r>
      <w:r w:rsidR="006A4EAD">
        <w:t xml:space="preserve">tion phase and therefore, cannot </w:t>
      </w:r>
      <w:r w:rsidR="00467500">
        <w:t>be correlated with efficacy or toxicity.  The best approach would be to schedule another lab draw that is</w:t>
      </w:r>
      <w:r w:rsidR="00A20F9A">
        <w:t xml:space="preserve"> at least 12 h</w:t>
      </w:r>
      <w:r w:rsidR="006A4EAD">
        <w:t>ou</w:t>
      </w:r>
      <w:r w:rsidR="00A20F9A">
        <w:t xml:space="preserve">rs after her </w:t>
      </w:r>
      <w:r>
        <w:t>next dose and reassess.</w:t>
      </w:r>
    </w:p>
    <w:p w:rsidR="00467500" w:rsidRDefault="00467500" w:rsidP="00467500"/>
    <w:p w:rsidR="00467500" w:rsidRDefault="00467500" w:rsidP="00467500"/>
    <w:p w:rsidR="0043076B" w:rsidRDefault="0043076B"/>
    <w:sectPr w:rsidR="0043076B" w:rsidSect="00005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4D79FD"/>
    <w:multiLevelType w:val="hybridMultilevel"/>
    <w:tmpl w:val="807A2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8A79AD"/>
    <w:multiLevelType w:val="hybridMultilevel"/>
    <w:tmpl w:val="909E6A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500"/>
    <w:rsid w:val="0000522D"/>
    <w:rsid w:val="00056B28"/>
    <w:rsid w:val="000C2219"/>
    <w:rsid w:val="000F0076"/>
    <w:rsid w:val="001048D9"/>
    <w:rsid w:val="001E65A5"/>
    <w:rsid w:val="00326944"/>
    <w:rsid w:val="0043076B"/>
    <w:rsid w:val="00467500"/>
    <w:rsid w:val="00484A2C"/>
    <w:rsid w:val="006249EA"/>
    <w:rsid w:val="006A4EAD"/>
    <w:rsid w:val="006D46BA"/>
    <w:rsid w:val="00750129"/>
    <w:rsid w:val="00A07CE7"/>
    <w:rsid w:val="00A20F9A"/>
    <w:rsid w:val="00A621F3"/>
    <w:rsid w:val="00AB49EA"/>
    <w:rsid w:val="00C05AE3"/>
    <w:rsid w:val="00C06AD6"/>
    <w:rsid w:val="00C55F9E"/>
    <w:rsid w:val="00DD0BD2"/>
    <w:rsid w:val="00E46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500"/>
    <w:rPr>
      <w:rFonts w:eastAsia="Times New Roman" w:cs="Arial"/>
      <w:sz w:val="24"/>
      <w:szCs w:val="24"/>
    </w:rPr>
  </w:style>
  <w:style w:type="paragraph" w:styleId="Heading1">
    <w:name w:val="heading 1"/>
    <w:basedOn w:val="Normal"/>
    <w:next w:val="Normal"/>
    <w:link w:val="Heading1Char"/>
    <w:uiPriority w:val="9"/>
    <w:qFormat/>
    <w:rsid w:val="00C55F9E"/>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C55F9E"/>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C55F9E"/>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C55F9E"/>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C55F9E"/>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C55F9E"/>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C55F9E"/>
    <w:pPr>
      <w:spacing w:before="240" w:after="60"/>
      <w:outlineLvl w:val="6"/>
    </w:pPr>
  </w:style>
  <w:style w:type="paragraph" w:styleId="Heading8">
    <w:name w:val="heading 8"/>
    <w:basedOn w:val="Normal"/>
    <w:next w:val="Normal"/>
    <w:link w:val="Heading8Char"/>
    <w:uiPriority w:val="9"/>
    <w:semiHidden/>
    <w:unhideWhenUsed/>
    <w:qFormat/>
    <w:rsid w:val="00C55F9E"/>
    <w:pPr>
      <w:spacing w:before="240" w:after="60"/>
      <w:outlineLvl w:val="7"/>
    </w:pPr>
    <w:rPr>
      <w:i/>
      <w:iCs/>
    </w:rPr>
  </w:style>
  <w:style w:type="paragraph" w:styleId="Heading9">
    <w:name w:val="heading 9"/>
    <w:basedOn w:val="Normal"/>
    <w:next w:val="Normal"/>
    <w:link w:val="Heading9Char"/>
    <w:uiPriority w:val="9"/>
    <w:semiHidden/>
    <w:unhideWhenUsed/>
    <w:qFormat/>
    <w:rsid w:val="00C55F9E"/>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F9E"/>
    <w:rPr>
      <w:rFonts w:ascii="Cambria" w:eastAsia="Times New Roman" w:hAnsi="Cambria"/>
      <w:b/>
      <w:bCs/>
      <w:kern w:val="32"/>
      <w:sz w:val="32"/>
      <w:szCs w:val="32"/>
    </w:rPr>
  </w:style>
  <w:style w:type="character" w:customStyle="1" w:styleId="Heading2Char">
    <w:name w:val="Heading 2 Char"/>
    <w:basedOn w:val="DefaultParagraphFont"/>
    <w:link w:val="Heading2"/>
    <w:uiPriority w:val="9"/>
    <w:semiHidden/>
    <w:rsid w:val="00C55F9E"/>
    <w:rPr>
      <w:rFonts w:ascii="Cambria" w:eastAsia="Times New Roman" w:hAnsi="Cambria"/>
      <w:b/>
      <w:bCs/>
      <w:i/>
      <w:iCs/>
      <w:sz w:val="28"/>
      <w:szCs w:val="28"/>
    </w:rPr>
  </w:style>
  <w:style w:type="character" w:customStyle="1" w:styleId="Heading3Char">
    <w:name w:val="Heading 3 Char"/>
    <w:basedOn w:val="DefaultParagraphFont"/>
    <w:link w:val="Heading3"/>
    <w:uiPriority w:val="9"/>
    <w:semiHidden/>
    <w:rsid w:val="00C55F9E"/>
    <w:rPr>
      <w:rFonts w:ascii="Cambria" w:eastAsia="Times New Roman" w:hAnsi="Cambria"/>
      <w:b/>
      <w:bCs/>
      <w:sz w:val="26"/>
      <w:szCs w:val="26"/>
    </w:rPr>
  </w:style>
  <w:style w:type="character" w:customStyle="1" w:styleId="Heading4Char">
    <w:name w:val="Heading 4 Char"/>
    <w:basedOn w:val="DefaultParagraphFont"/>
    <w:link w:val="Heading4"/>
    <w:uiPriority w:val="9"/>
    <w:rsid w:val="00C55F9E"/>
    <w:rPr>
      <w:b/>
      <w:bCs/>
      <w:sz w:val="28"/>
      <w:szCs w:val="28"/>
    </w:rPr>
  </w:style>
  <w:style w:type="character" w:customStyle="1" w:styleId="Heading5Char">
    <w:name w:val="Heading 5 Char"/>
    <w:basedOn w:val="DefaultParagraphFont"/>
    <w:link w:val="Heading5"/>
    <w:uiPriority w:val="9"/>
    <w:semiHidden/>
    <w:rsid w:val="00C55F9E"/>
    <w:rPr>
      <w:b/>
      <w:bCs/>
      <w:i/>
      <w:iCs/>
      <w:sz w:val="26"/>
      <w:szCs w:val="26"/>
    </w:rPr>
  </w:style>
  <w:style w:type="character" w:customStyle="1" w:styleId="Heading6Char">
    <w:name w:val="Heading 6 Char"/>
    <w:basedOn w:val="DefaultParagraphFont"/>
    <w:link w:val="Heading6"/>
    <w:uiPriority w:val="9"/>
    <w:semiHidden/>
    <w:rsid w:val="00C55F9E"/>
    <w:rPr>
      <w:b/>
      <w:bCs/>
    </w:rPr>
  </w:style>
  <w:style w:type="character" w:customStyle="1" w:styleId="Heading7Char">
    <w:name w:val="Heading 7 Char"/>
    <w:basedOn w:val="DefaultParagraphFont"/>
    <w:link w:val="Heading7"/>
    <w:uiPriority w:val="9"/>
    <w:semiHidden/>
    <w:rsid w:val="00C55F9E"/>
    <w:rPr>
      <w:sz w:val="24"/>
      <w:szCs w:val="24"/>
    </w:rPr>
  </w:style>
  <w:style w:type="character" w:customStyle="1" w:styleId="Heading8Char">
    <w:name w:val="Heading 8 Char"/>
    <w:basedOn w:val="DefaultParagraphFont"/>
    <w:link w:val="Heading8"/>
    <w:uiPriority w:val="9"/>
    <w:semiHidden/>
    <w:rsid w:val="00C55F9E"/>
    <w:rPr>
      <w:i/>
      <w:iCs/>
      <w:sz w:val="24"/>
      <w:szCs w:val="24"/>
    </w:rPr>
  </w:style>
  <w:style w:type="character" w:customStyle="1" w:styleId="Heading9Char">
    <w:name w:val="Heading 9 Char"/>
    <w:basedOn w:val="DefaultParagraphFont"/>
    <w:link w:val="Heading9"/>
    <w:uiPriority w:val="9"/>
    <w:semiHidden/>
    <w:rsid w:val="00C55F9E"/>
    <w:rPr>
      <w:rFonts w:ascii="Cambria" w:eastAsia="Times New Roman" w:hAnsi="Cambria"/>
    </w:rPr>
  </w:style>
  <w:style w:type="paragraph" w:styleId="Title">
    <w:name w:val="Title"/>
    <w:basedOn w:val="Normal"/>
    <w:next w:val="Normal"/>
    <w:link w:val="TitleChar"/>
    <w:uiPriority w:val="10"/>
    <w:qFormat/>
    <w:rsid w:val="00C55F9E"/>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C55F9E"/>
    <w:rPr>
      <w:rFonts w:ascii="Cambria" w:eastAsia="Times New Roman" w:hAnsi="Cambria"/>
      <w:b/>
      <w:bCs/>
      <w:kern w:val="28"/>
      <w:sz w:val="32"/>
      <w:szCs w:val="32"/>
    </w:rPr>
  </w:style>
  <w:style w:type="paragraph" w:styleId="Subtitle">
    <w:name w:val="Subtitle"/>
    <w:basedOn w:val="Normal"/>
    <w:next w:val="Normal"/>
    <w:link w:val="SubtitleChar"/>
    <w:uiPriority w:val="11"/>
    <w:qFormat/>
    <w:rsid w:val="00C55F9E"/>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C55F9E"/>
    <w:rPr>
      <w:rFonts w:ascii="Cambria" w:eastAsia="Times New Roman" w:hAnsi="Cambria"/>
      <w:sz w:val="24"/>
      <w:szCs w:val="24"/>
    </w:rPr>
  </w:style>
  <w:style w:type="character" w:styleId="Strong">
    <w:name w:val="Strong"/>
    <w:basedOn w:val="DefaultParagraphFont"/>
    <w:uiPriority w:val="22"/>
    <w:qFormat/>
    <w:rsid w:val="00C55F9E"/>
    <w:rPr>
      <w:b/>
      <w:bCs/>
    </w:rPr>
  </w:style>
  <w:style w:type="character" w:styleId="Emphasis">
    <w:name w:val="Emphasis"/>
    <w:basedOn w:val="DefaultParagraphFont"/>
    <w:uiPriority w:val="20"/>
    <w:qFormat/>
    <w:rsid w:val="00C55F9E"/>
    <w:rPr>
      <w:rFonts w:ascii="Calibri" w:hAnsi="Calibri"/>
      <w:b/>
      <w:i/>
      <w:iCs/>
    </w:rPr>
  </w:style>
  <w:style w:type="paragraph" w:styleId="NoSpacing">
    <w:name w:val="No Spacing"/>
    <w:basedOn w:val="Normal"/>
    <w:uiPriority w:val="1"/>
    <w:qFormat/>
    <w:rsid w:val="00C55F9E"/>
    <w:rPr>
      <w:szCs w:val="32"/>
    </w:rPr>
  </w:style>
  <w:style w:type="paragraph" w:styleId="ListParagraph">
    <w:name w:val="List Paragraph"/>
    <w:basedOn w:val="Normal"/>
    <w:qFormat/>
    <w:rsid w:val="00C55F9E"/>
    <w:pPr>
      <w:ind w:left="720"/>
      <w:contextualSpacing/>
    </w:pPr>
  </w:style>
  <w:style w:type="paragraph" w:styleId="Quote">
    <w:name w:val="Quote"/>
    <w:basedOn w:val="Normal"/>
    <w:next w:val="Normal"/>
    <w:link w:val="QuoteChar"/>
    <w:uiPriority w:val="29"/>
    <w:qFormat/>
    <w:rsid w:val="00C55F9E"/>
    <w:rPr>
      <w:i/>
    </w:rPr>
  </w:style>
  <w:style w:type="character" w:customStyle="1" w:styleId="QuoteChar">
    <w:name w:val="Quote Char"/>
    <w:basedOn w:val="DefaultParagraphFont"/>
    <w:link w:val="Quote"/>
    <w:uiPriority w:val="29"/>
    <w:rsid w:val="00C55F9E"/>
    <w:rPr>
      <w:i/>
      <w:sz w:val="24"/>
      <w:szCs w:val="24"/>
    </w:rPr>
  </w:style>
  <w:style w:type="paragraph" w:styleId="IntenseQuote">
    <w:name w:val="Intense Quote"/>
    <w:basedOn w:val="Normal"/>
    <w:next w:val="Normal"/>
    <w:link w:val="IntenseQuoteChar"/>
    <w:uiPriority w:val="30"/>
    <w:qFormat/>
    <w:rsid w:val="00C55F9E"/>
    <w:pPr>
      <w:ind w:left="720" w:right="720"/>
    </w:pPr>
    <w:rPr>
      <w:b/>
      <w:i/>
      <w:szCs w:val="22"/>
    </w:rPr>
  </w:style>
  <w:style w:type="character" w:customStyle="1" w:styleId="IntenseQuoteChar">
    <w:name w:val="Intense Quote Char"/>
    <w:basedOn w:val="DefaultParagraphFont"/>
    <w:link w:val="IntenseQuote"/>
    <w:uiPriority w:val="30"/>
    <w:rsid w:val="00C55F9E"/>
    <w:rPr>
      <w:b/>
      <w:i/>
      <w:sz w:val="24"/>
    </w:rPr>
  </w:style>
  <w:style w:type="character" w:styleId="SubtleEmphasis">
    <w:name w:val="Subtle Emphasis"/>
    <w:uiPriority w:val="19"/>
    <w:qFormat/>
    <w:rsid w:val="00C55F9E"/>
    <w:rPr>
      <w:i/>
      <w:color w:val="5A5A5A"/>
    </w:rPr>
  </w:style>
  <w:style w:type="character" w:styleId="IntenseEmphasis">
    <w:name w:val="Intense Emphasis"/>
    <w:basedOn w:val="DefaultParagraphFont"/>
    <w:uiPriority w:val="21"/>
    <w:qFormat/>
    <w:rsid w:val="00C55F9E"/>
    <w:rPr>
      <w:b/>
      <w:i/>
      <w:sz w:val="24"/>
      <w:szCs w:val="24"/>
      <w:u w:val="single"/>
    </w:rPr>
  </w:style>
  <w:style w:type="character" w:styleId="SubtleReference">
    <w:name w:val="Subtle Reference"/>
    <w:basedOn w:val="DefaultParagraphFont"/>
    <w:uiPriority w:val="31"/>
    <w:qFormat/>
    <w:rsid w:val="00C55F9E"/>
    <w:rPr>
      <w:sz w:val="24"/>
      <w:szCs w:val="24"/>
      <w:u w:val="single"/>
    </w:rPr>
  </w:style>
  <w:style w:type="character" w:styleId="IntenseReference">
    <w:name w:val="Intense Reference"/>
    <w:basedOn w:val="DefaultParagraphFont"/>
    <w:uiPriority w:val="32"/>
    <w:qFormat/>
    <w:rsid w:val="00C55F9E"/>
    <w:rPr>
      <w:b/>
      <w:sz w:val="24"/>
      <w:u w:val="single"/>
    </w:rPr>
  </w:style>
  <w:style w:type="character" w:styleId="BookTitle">
    <w:name w:val="Book Title"/>
    <w:basedOn w:val="DefaultParagraphFont"/>
    <w:uiPriority w:val="33"/>
    <w:qFormat/>
    <w:rsid w:val="00C55F9E"/>
    <w:rPr>
      <w:rFonts w:ascii="Cambria" w:eastAsia="Times New Roman" w:hAnsi="Cambria"/>
      <w:b/>
      <w:i/>
      <w:sz w:val="24"/>
      <w:szCs w:val="24"/>
    </w:rPr>
  </w:style>
  <w:style w:type="paragraph" w:styleId="TOCHeading">
    <w:name w:val="TOC Heading"/>
    <w:basedOn w:val="Heading1"/>
    <w:next w:val="Normal"/>
    <w:uiPriority w:val="39"/>
    <w:semiHidden/>
    <w:unhideWhenUsed/>
    <w:qFormat/>
    <w:rsid w:val="00C55F9E"/>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500"/>
    <w:rPr>
      <w:rFonts w:eastAsia="Times New Roman" w:cs="Arial"/>
      <w:sz w:val="24"/>
      <w:szCs w:val="24"/>
    </w:rPr>
  </w:style>
  <w:style w:type="paragraph" w:styleId="Heading1">
    <w:name w:val="heading 1"/>
    <w:basedOn w:val="Normal"/>
    <w:next w:val="Normal"/>
    <w:link w:val="Heading1Char"/>
    <w:uiPriority w:val="9"/>
    <w:qFormat/>
    <w:rsid w:val="00C55F9E"/>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C55F9E"/>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C55F9E"/>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C55F9E"/>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C55F9E"/>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C55F9E"/>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C55F9E"/>
    <w:pPr>
      <w:spacing w:before="240" w:after="60"/>
      <w:outlineLvl w:val="6"/>
    </w:pPr>
  </w:style>
  <w:style w:type="paragraph" w:styleId="Heading8">
    <w:name w:val="heading 8"/>
    <w:basedOn w:val="Normal"/>
    <w:next w:val="Normal"/>
    <w:link w:val="Heading8Char"/>
    <w:uiPriority w:val="9"/>
    <w:semiHidden/>
    <w:unhideWhenUsed/>
    <w:qFormat/>
    <w:rsid w:val="00C55F9E"/>
    <w:pPr>
      <w:spacing w:before="240" w:after="60"/>
      <w:outlineLvl w:val="7"/>
    </w:pPr>
    <w:rPr>
      <w:i/>
      <w:iCs/>
    </w:rPr>
  </w:style>
  <w:style w:type="paragraph" w:styleId="Heading9">
    <w:name w:val="heading 9"/>
    <w:basedOn w:val="Normal"/>
    <w:next w:val="Normal"/>
    <w:link w:val="Heading9Char"/>
    <w:uiPriority w:val="9"/>
    <w:semiHidden/>
    <w:unhideWhenUsed/>
    <w:qFormat/>
    <w:rsid w:val="00C55F9E"/>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F9E"/>
    <w:rPr>
      <w:rFonts w:ascii="Cambria" w:eastAsia="Times New Roman" w:hAnsi="Cambria"/>
      <w:b/>
      <w:bCs/>
      <w:kern w:val="32"/>
      <w:sz w:val="32"/>
      <w:szCs w:val="32"/>
    </w:rPr>
  </w:style>
  <w:style w:type="character" w:customStyle="1" w:styleId="Heading2Char">
    <w:name w:val="Heading 2 Char"/>
    <w:basedOn w:val="DefaultParagraphFont"/>
    <w:link w:val="Heading2"/>
    <w:uiPriority w:val="9"/>
    <w:semiHidden/>
    <w:rsid w:val="00C55F9E"/>
    <w:rPr>
      <w:rFonts w:ascii="Cambria" w:eastAsia="Times New Roman" w:hAnsi="Cambria"/>
      <w:b/>
      <w:bCs/>
      <w:i/>
      <w:iCs/>
      <w:sz w:val="28"/>
      <w:szCs w:val="28"/>
    </w:rPr>
  </w:style>
  <w:style w:type="character" w:customStyle="1" w:styleId="Heading3Char">
    <w:name w:val="Heading 3 Char"/>
    <w:basedOn w:val="DefaultParagraphFont"/>
    <w:link w:val="Heading3"/>
    <w:uiPriority w:val="9"/>
    <w:semiHidden/>
    <w:rsid w:val="00C55F9E"/>
    <w:rPr>
      <w:rFonts w:ascii="Cambria" w:eastAsia="Times New Roman" w:hAnsi="Cambria"/>
      <w:b/>
      <w:bCs/>
      <w:sz w:val="26"/>
      <w:szCs w:val="26"/>
    </w:rPr>
  </w:style>
  <w:style w:type="character" w:customStyle="1" w:styleId="Heading4Char">
    <w:name w:val="Heading 4 Char"/>
    <w:basedOn w:val="DefaultParagraphFont"/>
    <w:link w:val="Heading4"/>
    <w:uiPriority w:val="9"/>
    <w:rsid w:val="00C55F9E"/>
    <w:rPr>
      <w:b/>
      <w:bCs/>
      <w:sz w:val="28"/>
      <w:szCs w:val="28"/>
    </w:rPr>
  </w:style>
  <w:style w:type="character" w:customStyle="1" w:styleId="Heading5Char">
    <w:name w:val="Heading 5 Char"/>
    <w:basedOn w:val="DefaultParagraphFont"/>
    <w:link w:val="Heading5"/>
    <w:uiPriority w:val="9"/>
    <w:semiHidden/>
    <w:rsid w:val="00C55F9E"/>
    <w:rPr>
      <w:b/>
      <w:bCs/>
      <w:i/>
      <w:iCs/>
      <w:sz w:val="26"/>
      <w:szCs w:val="26"/>
    </w:rPr>
  </w:style>
  <w:style w:type="character" w:customStyle="1" w:styleId="Heading6Char">
    <w:name w:val="Heading 6 Char"/>
    <w:basedOn w:val="DefaultParagraphFont"/>
    <w:link w:val="Heading6"/>
    <w:uiPriority w:val="9"/>
    <w:semiHidden/>
    <w:rsid w:val="00C55F9E"/>
    <w:rPr>
      <w:b/>
      <w:bCs/>
    </w:rPr>
  </w:style>
  <w:style w:type="character" w:customStyle="1" w:styleId="Heading7Char">
    <w:name w:val="Heading 7 Char"/>
    <w:basedOn w:val="DefaultParagraphFont"/>
    <w:link w:val="Heading7"/>
    <w:uiPriority w:val="9"/>
    <w:semiHidden/>
    <w:rsid w:val="00C55F9E"/>
    <w:rPr>
      <w:sz w:val="24"/>
      <w:szCs w:val="24"/>
    </w:rPr>
  </w:style>
  <w:style w:type="character" w:customStyle="1" w:styleId="Heading8Char">
    <w:name w:val="Heading 8 Char"/>
    <w:basedOn w:val="DefaultParagraphFont"/>
    <w:link w:val="Heading8"/>
    <w:uiPriority w:val="9"/>
    <w:semiHidden/>
    <w:rsid w:val="00C55F9E"/>
    <w:rPr>
      <w:i/>
      <w:iCs/>
      <w:sz w:val="24"/>
      <w:szCs w:val="24"/>
    </w:rPr>
  </w:style>
  <w:style w:type="character" w:customStyle="1" w:styleId="Heading9Char">
    <w:name w:val="Heading 9 Char"/>
    <w:basedOn w:val="DefaultParagraphFont"/>
    <w:link w:val="Heading9"/>
    <w:uiPriority w:val="9"/>
    <w:semiHidden/>
    <w:rsid w:val="00C55F9E"/>
    <w:rPr>
      <w:rFonts w:ascii="Cambria" w:eastAsia="Times New Roman" w:hAnsi="Cambria"/>
    </w:rPr>
  </w:style>
  <w:style w:type="paragraph" w:styleId="Title">
    <w:name w:val="Title"/>
    <w:basedOn w:val="Normal"/>
    <w:next w:val="Normal"/>
    <w:link w:val="TitleChar"/>
    <w:uiPriority w:val="10"/>
    <w:qFormat/>
    <w:rsid w:val="00C55F9E"/>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C55F9E"/>
    <w:rPr>
      <w:rFonts w:ascii="Cambria" w:eastAsia="Times New Roman" w:hAnsi="Cambria"/>
      <w:b/>
      <w:bCs/>
      <w:kern w:val="28"/>
      <w:sz w:val="32"/>
      <w:szCs w:val="32"/>
    </w:rPr>
  </w:style>
  <w:style w:type="paragraph" w:styleId="Subtitle">
    <w:name w:val="Subtitle"/>
    <w:basedOn w:val="Normal"/>
    <w:next w:val="Normal"/>
    <w:link w:val="SubtitleChar"/>
    <w:uiPriority w:val="11"/>
    <w:qFormat/>
    <w:rsid w:val="00C55F9E"/>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C55F9E"/>
    <w:rPr>
      <w:rFonts w:ascii="Cambria" w:eastAsia="Times New Roman" w:hAnsi="Cambria"/>
      <w:sz w:val="24"/>
      <w:szCs w:val="24"/>
    </w:rPr>
  </w:style>
  <w:style w:type="character" w:styleId="Strong">
    <w:name w:val="Strong"/>
    <w:basedOn w:val="DefaultParagraphFont"/>
    <w:uiPriority w:val="22"/>
    <w:qFormat/>
    <w:rsid w:val="00C55F9E"/>
    <w:rPr>
      <w:b/>
      <w:bCs/>
    </w:rPr>
  </w:style>
  <w:style w:type="character" w:styleId="Emphasis">
    <w:name w:val="Emphasis"/>
    <w:basedOn w:val="DefaultParagraphFont"/>
    <w:uiPriority w:val="20"/>
    <w:qFormat/>
    <w:rsid w:val="00C55F9E"/>
    <w:rPr>
      <w:rFonts w:ascii="Calibri" w:hAnsi="Calibri"/>
      <w:b/>
      <w:i/>
      <w:iCs/>
    </w:rPr>
  </w:style>
  <w:style w:type="paragraph" w:styleId="NoSpacing">
    <w:name w:val="No Spacing"/>
    <w:basedOn w:val="Normal"/>
    <w:uiPriority w:val="1"/>
    <w:qFormat/>
    <w:rsid w:val="00C55F9E"/>
    <w:rPr>
      <w:szCs w:val="32"/>
    </w:rPr>
  </w:style>
  <w:style w:type="paragraph" w:styleId="ListParagraph">
    <w:name w:val="List Paragraph"/>
    <w:basedOn w:val="Normal"/>
    <w:qFormat/>
    <w:rsid w:val="00C55F9E"/>
    <w:pPr>
      <w:ind w:left="720"/>
      <w:contextualSpacing/>
    </w:pPr>
  </w:style>
  <w:style w:type="paragraph" w:styleId="Quote">
    <w:name w:val="Quote"/>
    <w:basedOn w:val="Normal"/>
    <w:next w:val="Normal"/>
    <w:link w:val="QuoteChar"/>
    <w:uiPriority w:val="29"/>
    <w:qFormat/>
    <w:rsid w:val="00C55F9E"/>
    <w:rPr>
      <w:i/>
    </w:rPr>
  </w:style>
  <w:style w:type="character" w:customStyle="1" w:styleId="QuoteChar">
    <w:name w:val="Quote Char"/>
    <w:basedOn w:val="DefaultParagraphFont"/>
    <w:link w:val="Quote"/>
    <w:uiPriority w:val="29"/>
    <w:rsid w:val="00C55F9E"/>
    <w:rPr>
      <w:i/>
      <w:sz w:val="24"/>
      <w:szCs w:val="24"/>
    </w:rPr>
  </w:style>
  <w:style w:type="paragraph" w:styleId="IntenseQuote">
    <w:name w:val="Intense Quote"/>
    <w:basedOn w:val="Normal"/>
    <w:next w:val="Normal"/>
    <w:link w:val="IntenseQuoteChar"/>
    <w:uiPriority w:val="30"/>
    <w:qFormat/>
    <w:rsid w:val="00C55F9E"/>
    <w:pPr>
      <w:ind w:left="720" w:right="720"/>
    </w:pPr>
    <w:rPr>
      <w:b/>
      <w:i/>
      <w:szCs w:val="22"/>
    </w:rPr>
  </w:style>
  <w:style w:type="character" w:customStyle="1" w:styleId="IntenseQuoteChar">
    <w:name w:val="Intense Quote Char"/>
    <w:basedOn w:val="DefaultParagraphFont"/>
    <w:link w:val="IntenseQuote"/>
    <w:uiPriority w:val="30"/>
    <w:rsid w:val="00C55F9E"/>
    <w:rPr>
      <w:b/>
      <w:i/>
      <w:sz w:val="24"/>
    </w:rPr>
  </w:style>
  <w:style w:type="character" w:styleId="SubtleEmphasis">
    <w:name w:val="Subtle Emphasis"/>
    <w:uiPriority w:val="19"/>
    <w:qFormat/>
    <w:rsid w:val="00C55F9E"/>
    <w:rPr>
      <w:i/>
      <w:color w:val="5A5A5A"/>
    </w:rPr>
  </w:style>
  <w:style w:type="character" w:styleId="IntenseEmphasis">
    <w:name w:val="Intense Emphasis"/>
    <w:basedOn w:val="DefaultParagraphFont"/>
    <w:uiPriority w:val="21"/>
    <w:qFormat/>
    <w:rsid w:val="00C55F9E"/>
    <w:rPr>
      <w:b/>
      <w:i/>
      <w:sz w:val="24"/>
      <w:szCs w:val="24"/>
      <w:u w:val="single"/>
    </w:rPr>
  </w:style>
  <w:style w:type="character" w:styleId="SubtleReference">
    <w:name w:val="Subtle Reference"/>
    <w:basedOn w:val="DefaultParagraphFont"/>
    <w:uiPriority w:val="31"/>
    <w:qFormat/>
    <w:rsid w:val="00C55F9E"/>
    <w:rPr>
      <w:sz w:val="24"/>
      <w:szCs w:val="24"/>
      <w:u w:val="single"/>
    </w:rPr>
  </w:style>
  <w:style w:type="character" w:styleId="IntenseReference">
    <w:name w:val="Intense Reference"/>
    <w:basedOn w:val="DefaultParagraphFont"/>
    <w:uiPriority w:val="32"/>
    <w:qFormat/>
    <w:rsid w:val="00C55F9E"/>
    <w:rPr>
      <w:b/>
      <w:sz w:val="24"/>
      <w:u w:val="single"/>
    </w:rPr>
  </w:style>
  <w:style w:type="character" w:styleId="BookTitle">
    <w:name w:val="Book Title"/>
    <w:basedOn w:val="DefaultParagraphFont"/>
    <w:uiPriority w:val="33"/>
    <w:qFormat/>
    <w:rsid w:val="00C55F9E"/>
    <w:rPr>
      <w:rFonts w:ascii="Cambria" w:eastAsia="Times New Roman" w:hAnsi="Cambria"/>
      <w:b/>
      <w:i/>
      <w:sz w:val="24"/>
      <w:szCs w:val="24"/>
    </w:rPr>
  </w:style>
  <w:style w:type="paragraph" w:styleId="TOCHeading">
    <w:name w:val="TOC Heading"/>
    <w:basedOn w:val="Heading1"/>
    <w:next w:val="Normal"/>
    <w:uiPriority w:val="39"/>
    <w:semiHidden/>
    <w:unhideWhenUsed/>
    <w:qFormat/>
    <w:rsid w:val="00C55F9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Client Services</Company>
  <LinksUpToDate>false</LinksUpToDate>
  <CharactersWithSpaces>6100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christine kent</dc:creator>
  <cp:lastModifiedBy>Susan C. Kent</cp:lastModifiedBy>
  <cp:revision>2</cp:revision>
  <dcterms:created xsi:type="dcterms:W3CDTF">2014-03-21T15:25:00Z</dcterms:created>
  <dcterms:modified xsi:type="dcterms:W3CDTF">2014-03-21T15:25:00Z</dcterms:modified>
</cp:coreProperties>
</file>