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B1" w:rsidRPr="008E0DAA" w:rsidRDefault="009B46B1" w:rsidP="009B46B1">
      <w:pPr>
        <w:jc w:val="center"/>
        <w:rPr>
          <w:rFonts w:ascii="Calibri" w:hAnsi="Calibri" w:cs="Calibri"/>
          <w:b/>
        </w:rPr>
      </w:pPr>
      <w:r w:rsidRPr="008E0DAA">
        <w:rPr>
          <w:rFonts w:ascii="Calibri" w:hAnsi="Calibri" w:cs="Calibri"/>
          <w:b/>
        </w:rPr>
        <w:t>Team Case Assignment: Clinical Pharmacokinetics P-313</w:t>
      </w:r>
    </w:p>
    <w:p w:rsidR="009B46B1" w:rsidRPr="008E0DAA" w:rsidRDefault="009B46B1" w:rsidP="009B46B1">
      <w:pPr>
        <w:jc w:val="center"/>
        <w:rPr>
          <w:rFonts w:ascii="Calibri" w:hAnsi="Calibri" w:cs="Calibri"/>
          <w:b/>
        </w:rPr>
      </w:pPr>
      <w:r>
        <w:rPr>
          <w:rFonts w:ascii="Calibri" w:hAnsi="Calibri" w:cs="Calibri"/>
          <w:b/>
        </w:rPr>
        <w:t>March</w:t>
      </w:r>
      <w:r w:rsidRPr="008E0DAA">
        <w:rPr>
          <w:rFonts w:ascii="Calibri" w:hAnsi="Calibri" w:cs="Calibri"/>
          <w:b/>
        </w:rPr>
        <w:t xml:space="preserve"> 19, 2013</w:t>
      </w:r>
    </w:p>
    <w:p w:rsidR="00BA0A07" w:rsidRPr="00A4647F" w:rsidRDefault="00A4647F" w:rsidP="00BA0A07">
      <w:pPr>
        <w:spacing w:line="240" w:lineRule="auto"/>
        <w:contextualSpacing/>
        <w:rPr>
          <w:rFonts w:cstheme="minorHAnsi"/>
        </w:rPr>
      </w:pPr>
      <w:r w:rsidRPr="00A4647F">
        <w:rPr>
          <w:rFonts w:cstheme="minorHAnsi"/>
        </w:rPr>
        <w:t>1</w:t>
      </w:r>
      <w:r w:rsidR="00BA0A07" w:rsidRPr="00A4647F">
        <w:rPr>
          <w:rFonts w:cstheme="minorHAnsi"/>
        </w:rPr>
        <w:t xml:space="preserve">. MS is a 60 year-old male, 85kg (6 Ft 1 in) with very severe COPD admitted to TUH medical ICU for respiratory failure and placed on mechanical ventilation. </w:t>
      </w:r>
    </w:p>
    <w:p w:rsidR="00BA0A07" w:rsidRPr="00A4647F" w:rsidRDefault="00BA0A07" w:rsidP="00BA0A07">
      <w:pPr>
        <w:spacing w:line="240" w:lineRule="auto"/>
        <w:contextualSpacing/>
        <w:rPr>
          <w:rFonts w:cstheme="minorHAnsi"/>
        </w:rPr>
      </w:pPr>
      <w:r w:rsidRPr="00A4647F">
        <w:rPr>
          <w:rFonts w:cstheme="minorHAnsi"/>
        </w:rPr>
        <w:t xml:space="preserve">PMH: COPD, HTN, </w:t>
      </w:r>
      <w:proofErr w:type="gramStart"/>
      <w:r w:rsidRPr="00A4647F">
        <w:rPr>
          <w:rFonts w:cstheme="minorHAnsi"/>
        </w:rPr>
        <w:t>hypercholesterolemia ,</w:t>
      </w:r>
      <w:proofErr w:type="gramEnd"/>
      <w:r w:rsidRPr="00A4647F">
        <w:rPr>
          <w:rFonts w:cstheme="minorHAnsi"/>
        </w:rPr>
        <w:t xml:space="preserve"> diabetes mellitus and cirrhosis</w:t>
      </w:r>
      <w:r w:rsidR="00A4647F" w:rsidRPr="00A4647F">
        <w:rPr>
          <w:rFonts w:cstheme="minorHAnsi"/>
        </w:rPr>
        <w:t xml:space="preserve">     SH: quit smoking 2 </w:t>
      </w:r>
      <w:proofErr w:type="spellStart"/>
      <w:r w:rsidR="00A4647F" w:rsidRPr="00A4647F">
        <w:rPr>
          <w:rFonts w:cstheme="minorHAnsi"/>
        </w:rPr>
        <w:t>yrs</w:t>
      </w:r>
      <w:proofErr w:type="spellEnd"/>
      <w:r w:rsidR="00A4647F" w:rsidRPr="00A4647F">
        <w:rPr>
          <w:rFonts w:cstheme="minorHAnsi"/>
        </w:rPr>
        <w:t xml:space="preserve"> ago</w:t>
      </w:r>
    </w:p>
    <w:p w:rsidR="00BA0A07" w:rsidRPr="00A4647F" w:rsidRDefault="00A4647F" w:rsidP="00BA0A07">
      <w:pPr>
        <w:spacing w:line="240" w:lineRule="auto"/>
        <w:contextualSpacing/>
        <w:rPr>
          <w:rFonts w:cstheme="minorHAnsi"/>
        </w:rPr>
      </w:pPr>
      <w:r w:rsidRPr="00A4647F">
        <w:rPr>
          <w:rFonts w:cstheme="minorHAnsi"/>
        </w:rPr>
        <w:t>Meds PTA: Theo-24 1</w:t>
      </w:r>
      <w:r w:rsidR="00BA0A07" w:rsidRPr="00A4647F">
        <w:rPr>
          <w:rFonts w:cstheme="minorHAnsi"/>
        </w:rPr>
        <w:t xml:space="preserve">00mg daily, </w:t>
      </w:r>
      <w:proofErr w:type="spellStart"/>
      <w:r w:rsidR="00BA0A07" w:rsidRPr="00A4647F">
        <w:rPr>
          <w:rFonts w:cstheme="minorHAnsi"/>
        </w:rPr>
        <w:t>lisinopril</w:t>
      </w:r>
      <w:proofErr w:type="spellEnd"/>
      <w:r w:rsidR="00BA0A07" w:rsidRPr="00A4647F">
        <w:rPr>
          <w:rFonts w:cstheme="minorHAnsi"/>
        </w:rPr>
        <w:t xml:space="preserve"> </w:t>
      </w:r>
      <w:r w:rsidRPr="00A4647F">
        <w:rPr>
          <w:rFonts w:cstheme="minorHAnsi"/>
        </w:rPr>
        <w:t>20mg daily, pravastatin 1</w:t>
      </w:r>
      <w:r w:rsidR="00BA0A07" w:rsidRPr="00A4647F">
        <w:rPr>
          <w:rFonts w:cstheme="minorHAnsi"/>
        </w:rPr>
        <w:t xml:space="preserve">0mg daily, </w:t>
      </w:r>
      <w:r w:rsidRPr="00A4647F">
        <w:rPr>
          <w:rFonts w:cstheme="minorHAnsi"/>
        </w:rPr>
        <w:t xml:space="preserve">lactulose 30 </w:t>
      </w:r>
      <w:proofErr w:type="spellStart"/>
      <w:r w:rsidRPr="00A4647F">
        <w:rPr>
          <w:rFonts w:cstheme="minorHAnsi"/>
        </w:rPr>
        <w:t>gms</w:t>
      </w:r>
      <w:proofErr w:type="spellEnd"/>
      <w:r w:rsidRPr="00A4647F">
        <w:rPr>
          <w:rFonts w:cstheme="minorHAnsi"/>
        </w:rPr>
        <w:t xml:space="preserve">  BID, </w:t>
      </w:r>
      <w:r w:rsidR="00BA0A07" w:rsidRPr="00A4647F">
        <w:rPr>
          <w:rFonts w:cstheme="minorHAnsi"/>
        </w:rPr>
        <w:t xml:space="preserve">Lantus 30 units AM and insulin </w:t>
      </w:r>
      <w:proofErr w:type="spellStart"/>
      <w:r w:rsidR="00BA0A07" w:rsidRPr="00A4647F">
        <w:rPr>
          <w:rFonts w:cstheme="minorHAnsi"/>
        </w:rPr>
        <w:t>lispro</w:t>
      </w:r>
      <w:proofErr w:type="spellEnd"/>
      <w:r w:rsidR="00BA0A07" w:rsidRPr="00A4647F">
        <w:rPr>
          <w:rFonts w:cstheme="minorHAnsi"/>
        </w:rPr>
        <w:t xml:space="preserve"> 12 units TID with meals</w:t>
      </w:r>
      <w:r w:rsidR="00B40ECC" w:rsidRPr="00A4647F">
        <w:rPr>
          <w:rFonts w:cstheme="minorHAnsi"/>
        </w:rPr>
        <w:t xml:space="preserve">, Fluticasone/ </w:t>
      </w:r>
      <w:proofErr w:type="spellStart"/>
      <w:r w:rsidR="00B40ECC" w:rsidRPr="00A4647F">
        <w:rPr>
          <w:rFonts w:cstheme="minorHAnsi"/>
        </w:rPr>
        <w:t>salmeterol</w:t>
      </w:r>
      <w:proofErr w:type="spellEnd"/>
      <w:r w:rsidR="00B40ECC" w:rsidRPr="00A4647F">
        <w:rPr>
          <w:rFonts w:cstheme="minorHAnsi"/>
        </w:rPr>
        <w:t xml:space="preserve"> 250/50 1 puff every 12 hours, </w:t>
      </w:r>
      <w:proofErr w:type="spellStart"/>
      <w:r w:rsidR="00B40ECC" w:rsidRPr="00A4647F">
        <w:rPr>
          <w:rFonts w:cstheme="minorHAnsi"/>
        </w:rPr>
        <w:t>tiotropiuim</w:t>
      </w:r>
      <w:proofErr w:type="spellEnd"/>
      <w:r w:rsidR="00B40ECC" w:rsidRPr="00A4647F">
        <w:rPr>
          <w:rFonts w:cstheme="minorHAnsi"/>
        </w:rPr>
        <w:t xml:space="preserve"> 18 mcg inhale 1 cap daily, albuterol 1 puff </w:t>
      </w:r>
      <w:proofErr w:type="spellStart"/>
      <w:r w:rsidR="00B40ECC" w:rsidRPr="00A4647F">
        <w:rPr>
          <w:rFonts w:cstheme="minorHAnsi"/>
        </w:rPr>
        <w:t>prn</w:t>
      </w:r>
      <w:proofErr w:type="spellEnd"/>
    </w:p>
    <w:p w:rsidR="009D376B" w:rsidRDefault="00BA0A07" w:rsidP="00BA0A07">
      <w:pPr>
        <w:spacing w:line="240" w:lineRule="auto"/>
        <w:contextualSpacing/>
        <w:rPr>
          <w:rFonts w:cstheme="minorHAnsi"/>
        </w:rPr>
      </w:pPr>
      <w:r w:rsidRPr="00A4647F">
        <w:rPr>
          <w:rFonts w:cstheme="minorHAnsi"/>
        </w:rPr>
        <w:t>His current t</w:t>
      </w:r>
      <w:r w:rsidR="000D4BE2" w:rsidRPr="00A4647F">
        <w:rPr>
          <w:rFonts w:cstheme="minorHAnsi"/>
        </w:rPr>
        <w:t xml:space="preserve">heophylline concentration is </w:t>
      </w:r>
      <w:proofErr w:type="gramStart"/>
      <w:r w:rsidR="000D4BE2" w:rsidRPr="00A4647F">
        <w:rPr>
          <w:rFonts w:cstheme="minorHAnsi"/>
        </w:rPr>
        <w:t xml:space="preserve">3 </w:t>
      </w:r>
      <w:r w:rsidRPr="00A4647F">
        <w:rPr>
          <w:rFonts w:cstheme="minorHAnsi"/>
        </w:rPr>
        <w:t>mcg/ml</w:t>
      </w:r>
      <w:proofErr w:type="gramEnd"/>
      <w:r w:rsidRPr="00A4647F">
        <w:rPr>
          <w:rFonts w:cstheme="minorHAnsi"/>
        </w:rPr>
        <w:t xml:space="preserve">. </w:t>
      </w:r>
    </w:p>
    <w:p w:rsidR="009D376B" w:rsidRDefault="00BA0A07" w:rsidP="00BA0A07">
      <w:pPr>
        <w:spacing w:line="240" w:lineRule="auto"/>
        <w:contextualSpacing/>
        <w:rPr>
          <w:rFonts w:cstheme="minorHAnsi"/>
        </w:rPr>
      </w:pPr>
      <w:r w:rsidRPr="00A4647F">
        <w:rPr>
          <w:rFonts w:cstheme="minorHAnsi"/>
        </w:rPr>
        <w:t>The medical team asks you to calculate a loading dose and maintenance dose of</w:t>
      </w:r>
      <w:r w:rsidR="00A4647F" w:rsidRPr="00A4647F">
        <w:rPr>
          <w:rFonts w:cstheme="minorHAnsi"/>
        </w:rPr>
        <w:t xml:space="preserve"> </w:t>
      </w:r>
      <w:proofErr w:type="gramStart"/>
      <w:r w:rsidR="00A4647F" w:rsidRPr="00A4647F">
        <w:rPr>
          <w:rFonts w:cstheme="minorHAnsi"/>
        </w:rPr>
        <w:t xml:space="preserve">theophylline </w:t>
      </w:r>
      <w:r w:rsidRPr="00A4647F">
        <w:rPr>
          <w:rFonts w:cstheme="minorHAnsi"/>
        </w:rPr>
        <w:t xml:space="preserve"> intravenous</w:t>
      </w:r>
      <w:proofErr w:type="gramEnd"/>
      <w:r w:rsidR="009D376B">
        <w:rPr>
          <w:rFonts w:cstheme="minorHAnsi"/>
        </w:rPr>
        <w:t xml:space="preserve"> (mg/</w:t>
      </w:r>
      <w:proofErr w:type="spellStart"/>
      <w:r w:rsidR="009D376B">
        <w:rPr>
          <w:rFonts w:cstheme="minorHAnsi"/>
        </w:rPr>
        <w:t>hr</w:t>
      </w:r>
      <w:proofErr w:type="spellEnd"/>
      <w:r w:rsidR="009D376B">
        <w:rPr>
          <w:rFonts w:cstheme="minorHAnsi"/>
        </w:rPr>
        <w:t>)</w:t>
      </w:r>
      <w:r w:rsidRPr="00A4647F">
        <w:rPr>
          <w:rFonts w:cstheme="minorHAnsi"/>
        </w:rPr>
        <w:t xml:space="preserve"> to obtain a goal serum concentration of 8 mcg/ml.</w:t>
      </w:r>
      <w:r w:rsidR="00A4647F" w:rsidRPr="00A4647F">
        <w:rPr>
          <w:rFonts w:cstheme="minorHAnsi"/>
        </w:rPr>
        <w:t xml:space="preserve"> </w:t>
      </w:r>
      <w:r w:rsidR="009D376B">
        <w:rPr>
          <w:rFonts w:cstheme="minorHAnsi"/>
        </w:rPr>
        <w:t xml:space="preserve">In addition, calculate an infusion rate for the </w:t>
      </w:r>
      <w:proofErr w:type="spellStart"/>
      <w:r w:rsidR="009D376B">
        <w:rPr>
          <w:rFonts w:cstheme="minorHAnsi"/>
        </w:rPr>
        <w:t>theophyllne</w:t>
      </w:r>
      <w:proofErr w:type="spellEnd"/>
      <w:r w:rsidR="009D376B">
        <w:rPr>
          <w:rFonts w:cstheme="minorHAnsi"/>
        </w:rPr>
        <w:t xml:space="preserve"> infusion (conc. 400 mg/500 ml) maintenance dose (ml/</w:t>
      </w:r>
      <w:proofErr w:type="spellStart"/>
      <w:r w:rsidR="009D376B">
        <w:rPr>
          <w:rFonts w:cstheme="minorHAnsi"/>
        </w:rPr>
        <w:t>hr</w:t>
      </w:r>
      <w:proofErr w:type="spellEnd"/>
      <w:r w:rsidR="009D376B">
        <w:rPr>
          <w:rFonts w:cstheme="minorHAnsi"/>
        </w:rPr>
        <w:t xml:space="preserve">). </w:t>
      </w:r>
    </w:p>
    <w:p w:rsidR="00BA0A07" w:rsidRPr="00A4647F" w:rsidRDefault="00A4647F" w:rsidP="00BA0A07">
      <w:pPr>
        <w:spacing w:line="240" w:lineRule="auto"/>
        <w:contextualSpacing/>
        <w:rPr>
          <w:rFonts w:cstheme="minorHAnsi"/>
        </w:rPr>
      </w:pPr>
      <w:r w:rsidRPr="00A4647F">
        <w:rPr>
          <w:rFonts w:cstheme="minorHAnsi"/>
        </w:rPr>
        <w:t>Assume the patient has been compliant on his home theophylline dose.</w:t>
      </w:r>
    </w:p>
    <w:p w:rsidR="00B258EE" w:rsidRDefault="00B258EE" w:rsidP="00B258EE">
      <w:pPr>
        <w:spacing w:after="0" w:line="240" w:lineRule="auto"/>
        <w:ind w:left="720"/>
        <w:rPr>
          <w:rFonts w:cstheme="minorHAnsi"/>
        </w:rPr>
      </w:pPr>
    </w:p>
    <w:p w:rsidR="008C26D9" w:rsidRPr="00A4647F" w:rsidRDefault="008C26D9" w:rsidP="00B258EE">
      <w:pPr>
        <w:spacing w:after="0" w:line="240" w:lineRule="auto"/>
        <w:ind w:left="720"/>
        <w:rPr>
          <w:rFonts w:cstheme="minorHAnsi"/>
        </w:rPr>
      </w:pPr>
    </w:p>
    <w:p w:rsidR="00B258EE" w:rsidRPr="00A4647F" w:rsidRDefault="00A4647F" w:rsidP="00B258EE">
      <w:pPr>
        <w:spacing w:after="0" w:line="240" w:lineRule="auto"/>
        <w:rPr>
          <w:rFonts w:cstheme="minorHAnsi"/>
        </w:rPr>
      </w:pPr>
      <w:r w:rsidRPr="00A4647F">
        <w:rPr>
          <w:rFonts w:cstheme="minorHAnsi"/>
        </w:rPr>
        <w:t xml:space="preserve">2. </w:t>
      </w:r>
      <w:r w:rsidR="00B258EE" w:rsidRPr="00A4647F">
        <w:rPr>
          <w:rFonts w:cstheme="minorHAnsi"/>
        </w:rPr>
        <w:t xml:space="preserve">CN is a 21 </w:t>
      </w:r>
      <w:proofErr w:type="spellStart"/>
      <w:r w:rsidR="00B258EE" w:rsidRPr="00A4647F">
        <w:rPr>
          <w:rFonts w:cstheme="minorHAnsi"/>
        </w:rPr>
        <w:t>yr</w:t>
      </w:r>
      <w:proofErr w:type="spellEnd"/>
      <w:r w:rsidR="00B258EE" w:rsidRPr="00A4647F">
        <w:rPr>
          <w:rFonts w:cstheme="minorHAnsi"/>
        </w:rPr>
        <w:t xml:space="preserve">-old woman who was diagnosed with her first manic episode six months ago.  She was hospitalized at that time, treated with lithium 600 mg </w:t>
      </w:r>
      <w:proofErr w:type="spellStart"/>
      <w:r w:rsidR="00B258EE" w:rsidRPr="00A4647F">
        <w:rPr>
          <w:rFonts w:cstheme="minorHAnsi"/>
        </w:rPr>
        <w:t>po</w:t>
      </w:r>
      <w:proofErr w:type="spellEnd"/>
      <w:r w:rsidR="00B258EE" w:rsidRPr="00A4647F">
        <w:rPr>
          <w:rFonts w:cstheme="minorHAnsi"/>
        </w:rPr>
        <w:t xml:space="preserve"> bid (serum concentrations 0.8 mg/</w:t>
      </w:r>
      <w:proofErr w:type="spellStart"/>
      <w:r w:rsidR="00B258EE" w:rsidRPr="00A4647F">
        <w:rPr>
          <w:rFonts w:cstheme="minorHAnsi"/>
        </w:rPr>
        <w:t>dL</w:t>
      </w:r>
      <w:proofErr w:type="spellEnd"/>
      <w:r w:rsidR="00B258EE" w:rsidRPr="00A4647F">
        <w:rPr>
          <w:rFonts w:cstheme="minorHAnsi"/>
        </w:rPr>
        <w:t xml:space="preserve"> while in the hospital).  She did not keep her follow-up appointment with her psychiatrist and presents to the ER today at the request of her mother.  She is kicking wildly while being pulled from the car and can be heard screaming “The FBI is after me, Mom!  I would have made it out of the country if you hadn’t gotten in the way!  I was going to marry Prince William and be the next Queen of England!”  </w:t>
      </w:r>
    </w:p>
    <w:p w:rsidR="00B258EE" w:rsidRPr="00A4647F" w:rsidRDefault="00B258EE" w:rsidP="00B258EE">
      <w:pPr>
        <w:rPr>
          <w:rFonts w:cstheme="minorHAnsi"/>
        </w:rPr>
      </w:pPr>
      <w:r w:rsidRPr="00A4647F">
        <w:rPr>
          <w:rFonts w:cstheme="minorHAnsi"/>
        </w:rPr>
        <w:t>Upon exam, she is irritable and is pacing around the room.  She is dressed in a short skirt, high heels and is wearing an excessive amount of make-up and costume jewelry.  Her mother reports that she “lost” her prescription within days of being discharged and has stopped attending classes at the local community college.  She has started staying out late and has exhibited reckless driving habits, finally hitting the</w:t>
      </w:r>
      <w:r w:rsidR="00A4647F" w:rsidRPr="00A4647F">
        <w:rPr>
          <w:rFonts w:cstheme="minorHAnsi"/>
        </w:rPr>
        <w:t xml:space="preserve"> </w:t>
      </w:r>
      <w:r w:rsidRPr="00A4647F">
        <w:rPr>
          <w:rFonts w:cstheme="minorHAnsi"/>
        </w:rPr>
        <w:t xml:space="preserve">side of the garage while parking early this morning.  </w:t>
      </w:r>
    </w:p>
    <w:p w:rsidR="00B258EE" w:rsidRPr="00A4647F" w:rsidRDefault="00B258EE" w:rsidP="00B258EE">
      <w:pPr>
        <w:numPr>
          <w:ilvl w:val="0"/>
          <w:numId w:val="1"/>
        </w:numPr>
        <w:spacing w:after="0" w:line="240" w:lineRule="auto"/>
        <w:rPr>
          <w:rFonts w:cstheme="minorHAnsi"/>
        </w:rPr>
      </w:pPr>
      <w:r w:rsidRPr="00A4647F">
        <w:rPr>
          <w:rFonts w:cstheme="minorHAnsi"/>
        </w:rPr>
        <w:t xml:space="preserve">What is CN’s goal lithium serum concentration and why?  </w:t>
      </w:r>
    </w:p>
    <w:p w:rsidR="00B258EE" w:rsidRPr="00A4647F" w:rsidRDefault="00B258EE" w:rsidP="00B258EE">
      <w:pPr>
        <w:numPr>
          <w:ilvl w:val="0"/>
          <w:numId w:val="1"/>
        </w:numPr>
        <w:spacing w:after="0" w:line="240" w:lineRule="auto"/>
        <w:rPr>
          <w:rFonts w:cstheme="minorHAnsi"/>
        </w:rPr>
      </w:pPr>
      <w:r w:rsidRPr="00A4647F">
        <w:rPr>
          <w:rFonts w:cstheme="minorHAnsi"/>
        </w:rPr>
        <w:t xml:space="preserve">When can her mother expect to see changes in CN’s behavior, assuming she is compliant with her treatment?  </w:t>
      </w:r>
    </w:p>
    <w:p w:rsidR="00B258EE" w:rsidRPr="00A4647F" w:rsidRDefault="00B258EE" w:rsidP="00B258EE">
      <w:pPr>
        <w:numPr>
          <w:ilvl w:val="0"/>
          <w:numId w:val="1"/>
        </w:numPr>
        <w:spacing w:after="0" w:line="240" w:lineRule="auto"/>
        <w:rPr>
          <w:rFonts w:cstheme="minorHAnsi"/>
        </w:rPr>
      </w:pPr>
      <w:r w:rsidRPr="00A4647F">
        <w:rPr>
          <w:rFonts w:cstheme="minorHAnsi"/>
        </w:rPr>
        <w:t>When should her next lithium level be drawn?</w:t>
      </w:r>
    </w:p>
    <w:p w:rsidR="00B258EE" w:rsidRDefault="00B258EE" w:rsidP="00B258EE">
      <w:pPr>
        <w:spacing w:after="0" w:line="240" w:lineRule="auto"/>
        <w:ind w:left="720"/>
        <w:rPr>
          <w:rFonts w:cstheme="minorHAnsi"/>
        </w:rPr>
      </w:pPr>
    </w:p>
    <w:p w:rsidR="008C26D9" w:rsidRPr="00A4647F" w:rsidRDefault="008C26D9" w:rsidP="00B258EE">
      <w:pPr>
        <w:spacing w:after="0" w:line="240" w:lineRule="auto"/>
        <w:ind w:left="720"/>
        <w:rPr>
          <w:rFonts w:cstheme="minorHAnsi"/>
        </w:rPr>
      </w:pPr>
    </w:p>
    <w:p w:rsidR="00B258EE" w:rsidRDefault="00A23C9D" w:rsidP="00A23C9D">
      <w:pPr>
        <w:spacing w:after="0" w:line="240" w:lineRule="auto"/>
        <w:rPr>
          <w:rFonts w:cstheme="minorHAnsi"/>
        </w:rPr>
      </w:pPr>
      <w:r>
        <w:rPr>
          <w:rFonts w:cstheme="minorHAnsi"/>
        </w:rPr>
        <w:t xml:space="preserve">3. </w:t>
      </w:r>
      <w:r w:rsidR="00B258EE" w:rsidRPr="00A4647F">
        <w:rPr>
          <w:rFonts w:cstheme="minorHAnsi"/>
        </w:rPr>
        <w:t xml:space="preserve">One day, CN’s mother calls, concerned that her daughter has been complaining of nausea, vomiting, and diarrhea for several days.  Over the past few hours, CN has become confused and has developed a coarse tremor and slurred speech.  It has been 4 months since her last lithium level, at which time her lithium level and laboratory panel were normal.  The only change is that CN has recently starting taking Advil regularly for tension headaches.  </w:t>
      </w:r>
    </w:p>
    <w:p w:rsidR="00A23C9D" w:rsidRPr="00A4647F" w:rsidRDefault="00A23C9D" w:rsidP="00A23C9D">
      <w:pPr>
        <w:spacing w:after="0" w:line="240" w:lineRule="auto"/>
        <w:rPr>
          <w:rFonts w:cstheme="minorHAnsi"/>
        </w:rPr>
      </w:pPr>
    </w:p>
    <w:p w:rsidR="00B258EE" w:rsidRPr="00A4647F" w:rsidRDefault="00A23C9D" w:rsidP="00A23C9D">
      <w:pPr>
        <w:spacing w:after="0" w:line="240" w:lineRule="auto"/>
        <w:ind w:firstLine="360"/>
        <w:rPr>
          <w:rFonts w:cstheme="minorHAnsi"/>
        </w:rPr>
      </w:pPr>
      <w:r>
        <w:rPr>
          <w:rFonts w:cstheme="minorHAnsi"/>
        </w:rPr>
        <w:t xml:space="preserve">  a. </w:t>
      </w:r>
      <w:r w:rsidR="00B258EE" w:rsidRPr="00A4647F">
        <w:rPr>
          <w:rFonts w:cstheme="minorHAnsi"/>
        </w:rPr>
        <w:t>What is the likely cause of her symptoms?  What action should be taken?</w:t>
      </w:r>
    </w:p>
    <w:p w:rsidR="00A4647F" w:rsidRPr="00A4647F" w:rsidRDefault="00A4647F" w:rsidP="00A23C9D">
      <w:pPr>
        <w:spacing w:after="0" w:line="240" w:lineRule="auto"/>
        <w:rPr>
          <w:rFonts w:cstheme="minorHAnsi"/>
        </w:rPr>
      </w:pPr>
    </w:p>
    <w:p w:rsidR="00A4647F" w:rsidRPr="00A4647F" w:rsidRDefault="00A4647F" w:rsidP="00A23C9D">
      <w:pPr>
        <w:rPr>
          <w:rFonts w:cstheme="minorHAnsi"/>
        </w:rPr>
      </w:pPr>
      <w:r w:rsidRPr="00A4647F">
        <w:rPr>
          <w:rFonts w:cstheme="minorHAnsi"/>
        </w:rPr>
        <w:br w:type="page"/>
      </w:r>
    </w:p>
    <w:p w:rsidR="00187683" w:rsidRPr="00A4647F" w:rsidRDefault="00187683" w:rsidP="00187683">
      <w:pPr>
        <w:spacing w:line="240" w:lineRule="auto"/>
        <w:contextualSpacing/>
        <w:rPr>
          <w:rFonts w:cstheme="minorHAnsi"/>
          <w:b/>
        </w:rPr>
      </w:pPr>
      <w:bookmarkStart w:id="0" w:name="administrationMonitoringSection"/>
      <w:bookmarkStart w:id="1" w:name="secN10DEF"/>
      <w:bookmarkEnd w:id="0"/>
      <w:bookmarkEnd w:id="1"/>
      <w:r w:rsidRPr="00A4647F">
        <w:rPr>
          <w:rFonts w:cstheme="minorHAnsi"/>
          <w:b/>
        </w:rPr>
        <w:lastRenderedPageBreak/>
        <w:t>Question 1:</w:t>
      </w:r>
    </w:p>
    <w:tbl>
      <w:tblPr>
        <w:tblStyle w:val="TableGrid"/>
        <w:tblW w:w="9648" w:type="dxa"/>
        <w:tblLook w:val="04A0" w:firstRow="1" w:lastRow="0" w:firstColumn="1" w:lastColumn="0" w:noHBand="0" w:noVBand="1"/>
      </w:tblPr>
      <w:tblGrid>
        <w:gridCol w:w="9648"/>
      </w:tblGrid>
      <w:tr w:rsidR="00187683" w:rsidRPr="00A4647F" w:rsidTr="00C84569">
        <w:trPr>
          <w:trHeight w:val="1414"/>
        </w:trPr>
        <w:tc>
          <w:tcPr>
            <w:tcW w:w="9648" w:type="dxa"/>
          </w:tcPr>
          <w:p w:rsidR="009D376B" w:rsidRPr="009D376B" w:rsidRDefault="0041380B" w:rsidP="00187683">
            <w:pPr>
              <w:contextualSpacing/>
              <w:rPr>
                <w:rFonts w:cstheme="minorHAnsi"/>
                <w:u w:val="single"/>
              </w:rPr>
            </w:pPr>
            <w:r w:rsidRPr="009D376B">
              <w:rPr>
                <w:rFonts w:cstheme="minorHAnsi"/>
                <w:u w:val="single"/>
              </w:rPr>
              <w:t>Loading dose:</w:t>
            </w:r>
          </w:p>
          <w:p w:rsidR="0041380B" w:rsidRDefault="0041380B" w:rsidP="00187683">
            <w:pPr>
              <w:contextualSpacing/>
              <w:rPr>
                <w:rFonts w:cstheme="minorHAnsi"/>
              </w:rPr>
            </w:pPr>
          </w:p>
          <w:p w:rsidR="009D376B" w:rsidRPr="005F3ADD" w:rsidRDefault="009D376B" w:rsidP="009D376B">
            <w:pPr>
              <w:ind w:left="720"/>
              <w:contextualSpacing/>
              <w:rPr>
                <w:rFonts w:eastAsiaTheme="minorHAnsi" w:cstheme="minorHAnsi"/>
                <w:highlight w:val="yellow"/>
              </w:rPr>
            </w:pPr>
            <w:proofErr w:type="spellStart"/>
            <w:r w:rsidRPr="005F3ADD">
              <w:rPr>
                <w:rFonts w:eastAsiaTheme="minorHAnsi" w:cstheme="minorHAnsi"/>
                <w:highlight w:val="yellow"/>
              </w:rPr>
              <w:t>Vd</w:t>
            </w:r>
            <w:proofErr w:type="spellEnd"/>
            <w:r w:rsidRPr="005F3ADD">
              <w:rPr>
                <w:rFonts w:eastAsiaTheme="minorHAnsi" w:cstheme="minorHAnsi"/>
                <w:highlight w:val="yellow"/>
              </w:rPr>
              <w:t>= 0.5L/kg * 85 kg = 42.5 L</w:t>
            </w:r>
          </w:p>
          <w:p w:rsidR="009D376B" w:rsidRPr="005F3ADD" w:rsidRDefault="009D376B" w:rsidP="009D376B">
            <w:pPr>
              <w:ind w:left="720"/>
              <w:contextualSpacing/>
              <w:rPr>
                <w:rFonts w:eastAsiaTheme="minorHAnsi" w:cstheme="minorHAnsi"/>
                <w:highlight w:val="yellow"/>
              </w:rPr>
            </w:pPr>
            <w:r w:rsidRPr="005F3ADD">
              <w:rPr>
                <w:rFonts w:eastAsiaTheme="minorHAnsi" w:cstheme="minorHAnsi"/>
                <w:highlight w:val="yellow"/>
              </w:rPr>
              <w:t xml:space="preserve">LD= </w:t>
            </w:r>
            <w:r w:rsidRPr="005F3ADD">
              <w:rPr>
                <w:rFonts w:eastAsiaTheme="minorHAnsi" w:cstheme="minorHAnsi"/>
                <w:highlight w:val="yellow"/>
                <w:u w:val="single"/>
              </w:rPr>
              <w:t xml:space="preserve">(40 L) (8mg/L-3 mg/L) </w:t>
            </w:r>
            <w:r>
              <w:rPr>
                <w:rFonts w:eastAsiaTheme="minorHAnsi" w:cstheme="minorHAnsi"/>
                <w:highlight w:val="yellow"/>
              </w:rPr>
              <w:t xml:space="preserve"> = 212.5</w:t>
            </w:r>
            <w:r w:rsidRPr="005F3ADD">
              <w:rPr>
                <w:rFonts w:eastAsiaTheme="minorHAnsi" w:cstheme="minorHAnsi"/>
                <w:highlight w:val="yellow"/>
              </w:rPr>
              <w:t xml:space="preserve"> mg loading dose</w:t>
            </w:r>
          </w:p>
          <w:p w:rsidR="009D376B" w:rsidRDefault="009D376B" w:rsidP="009D376B">
            <w:pPr>
              <w:numPr>
                <w:ilvl w:val="0"/>
                <w:numId w:val="5"/>
              </w:numPr>
              <w:contextualSpacing/>
              <w:rPr>
                <w:rFonts w:eastAsiaTheme="minorHAnsi" w:cstheme="minorHAnsi"/>
                <w:highlight w:val="yellow"/>
              </w:rPr>
            </w:pPr>
            <w:r>
              <w:rPr>
                <w:rFonts w:eastAsiaTheme="minorHAnsi" w:cstheme="minorHAnsi"/>
                <w:highlight w:val="yellow"/>
              </w:rPr>
              <w:t>(1)- b/c we are giving IV theophylline</w:t>
            </w:r>
          </w:p>
          <w:p w:rsidR="009D376B" w:rsidRPr="005F3ADD" w:rsidRDefault="009D376B" w:rsidP="009D376B">
            <w:pPr>
              <w:ind w:left="1710"/>
              <w:contextualSpacing/>
              <w:rPr>
                <w:rFonts w:eastAsiaTheme="minorHAnsi" w:cstheme="minorHAnsi"/>
                <w:highlight w:val="yellow"/>
              </w:rPr>
            </w:pPr>
          </w:p>
          <w:p w:rsidR="0041380B" w:rsidRDefault="009D376B" w:rsidP="00187683">
            <w:pPr>
              <w:contextualSpacing/>
              <w:rPr>
                <w:rFonts w:cstheme="minorHAnsi"/>
              </w:rPr>
            </w:pPr>
            <w:r w:rsidRPr="009D376B">
              <w:rPr>
                <w:rFonts w:cstheme="minorHAnsi"/>
                <w:highlight w:val="yellow"/>
              </w:rPr>
              <w:t>LD= 212 should round to 215 mg</w:t>
            </w:r>
          </w:p>
          <w:p w:rsidR="0041380B" w:rsidRDefault="0041380B" w:rsidP="00187683">
            <w:pPr>
              <w:contextualSpacing/>
              <w:rPr>
                <w:rFonts w:cstheme="minorHAnsi"/>
              </w:rPr>
            </w:pPr>
          </w:p>
          <w:p w:rsidR="0041380B" w:rsidRPr="009D376B" w:rsidRDefault="009D376B" w:rsidP="00187683">
            <w:pPr>
              <w:contextualSpacing/>
              <w:rPr>
                <w:rFonts w:cstheme="minorHAnsi"/>
                <w:u w:val="single"/>
              </w:rPr>
            </w:pPr>
            <w:r w:rsidRPr="009D376B">
              <w:rPr>
                <w:rFonts w:cstheme="minorHAnsi"/>
                <w:u w:val="single"/>
              </w:rPr>
              <w:t>New dose:</w:t>
            </w:r>
          </w:p>
          <w:p w:rsidR="009D376B" w:rsidRPr="005F3ADD" w:rsidRDefault="009D376B" w:rsidP="009D376B">
            <w:pPr>
              <w:contextualSpacing/>
              <w:rPr>
                <w:rFonts w:eastAsiaTheme="minorHAnsi" w:cstheme="minorHAnsi"/>
                <w:highlight w:val="yellow"/>
              </w:rPr>
            </w:pPr>
            <w:r w:rsidRPr="005F3ADD">
              <w:rPr>
                <w:rFonts w:eastAsiaTheme="minorHAnsi" w:cstheme="minorHAnsi"/>
                <w:highlight w:val="yellow"/>
              </w:rPr>
              <w:t xml:space="preserve">MD= </w:t>
            </w:r>
            <w:r w:rsidRPr="005F3ADD">
              <w:rPr>
                <w:rFonts w:eastAsiaTheme="minorHAnsi" w:cstheme="minorHAnsi"/>
                <w:highlight w:val="yellow"/>
                <w:u w:val="single"/>
              </w:rPr>
              <w:t>(</w:t>
            </w:r>
            <w:proofErr w:type="spellStart"/>
            <w:r w:rsidRPr="005F3ADD">
              <w:rPr>
                <w:rFonts w:eastAsiaTheme="minorHAnsi" w:cstheme="minorHAnsi"/>
                <w:highlight w:val="yellow"/>
                <w:u w:val="single"/>
              </w:rPr>
              <w:t>Css</w:t>
            </w:r>
            <w:proofErr w:type="spellEnd"/>
            <w:r w:rsidRPr="005F3ADD">
              <w:rPr>
                <w:rFonts w:eastAsiaTheme="minorHAnsi" w:cstheme="minorHAnsi"/>
                <w:highlight w:val="yellow"/>
                <w:u w:val="single"/>
              </w:rPr>
              <w:t>)(</w:t>
            </w:r>
            <w:proofErr w:type="spellStart"/>
            <w:r w:rsidRPr="005F3ADD">
              <w:rPr>
                <w:rFonts w:eastAsiaTheme="minorHAnsi" w:cstheme="minorHAnsi"/>
                <w:highlight w:val="yellow"/>
                <w:u w:val="single"/>
              </w:rPr>
              <w:t>Cl</w:t>
            </w:r>
            <w:proofErr w:type="spellEnd"/>
            <w:r w:rsidRPr="005F3ADD">
              <w:rPr>
                <w:rFonts w:eastAsiaTheme="minorHAnsi" w:cstheme="minorHAnsi"/>
                <w:highlight w:val="yellow"/>
                <w:u w:val="single"/>
              </w:rPr>
              <w:t>)(</w:t>
            </w:r>
            <w:r w:rsidRPr="005F3ADD">
              <w:rPr>
                <w:rFonts w:eastAsiaTheme="minorHAnsi" w:cstheme="minorHAnsi"/>
                <w:highlight w:val="yellow"/>
              </w:rPr>
              <w:sym w:font="Symbol" w:char="F074"/>
            </w:r>
            <w:r w:rsidRPr="005F3ADD">
              <w:rPr>
                <w:rFonts w:eastAsiaTheme="minorHAnsi" w:cstheme="minorHAnsi"/>
                <w:highlight w:val="yellow"/>
                <w:u w:val="single"/>
              </w:rPr>
              <w:t>)</w:t>
            </w:r>
          </w:p>
          <w:p w:rsidR="009D376B" w:rsidRPr="005F3ADD" w:rsidRDefault="009D376B" w:rsidP="009D376B">
            <w:pPr>
              <w:contextualSpacing/>
              <w:rPr>
                <w:rFonts w:eastAsiaTheme="minorHAnsi" w:cstheme="minorHAnsi"/>
                <w:highlight w:val="yellow"/>
              </w:rPr>
            </w:pPr>
            <w:r w:rsidRPr="005F3ADD">
              <w:rPr>
                <w:rFonts w:eastAsiaTheme="minorHAnsi" w:cstheme="minorHAnsi"/>
                <w:highlight w:val="yellow"/>
              </w:rPr>
              <w:t xml:space="preserve">               (F)(S)</w:t>
            </w:r>
          </w:p>
          <w:p w:rsidR="009D376B" w:rsidRPr="005F3ADD" w:rsidRDefault="009D376B" w:rsidP="009D376B">
            <w:pPr>
              <w:contextualSpacing/>
              <w:rPr>
                <w:rFonts w:eastAsiaTheme="minorHAnsi" w:cstheme="minorHAnsi"/>
                <w:highlight w:val="yellow"/>
              </w:rPr>
            </w:pPr>
            <w:r w:rsidRPr="005F3ADD">
              <w:rPr>
                <w:rFonts w:eastAsiaTheme="minorHAnsi" w:cstheme="minorHAnsi"/>
                <w:highlight w:val="yellow"/>
              </w:rPr>
              <w:t xml:space="preserve">Rearrange the formula to solve for </w:t>
            </w:r>
            <w:proofErr w:type="spellStart"/>
            <w:r w:rsidRPr="005F3ADD">
              <w:rPr>
                <w:rFonts w:eastAsiaTheme="minorHAnsi" w:cstheme="minorHAnsi"/>
                <w:highlight w:val="yellow"/>
              </w:rPr>
              <w:t>Cl</w:t>
            </w:r>
            <w:proofErr w:type="spellEnd"/>
          </w:p>
          <w:p w:rsidR="009D376B" w:rsidRPr="005F3ADD" w:rsidRDefault="009D376B" w:rsidP="009D376B">
            <w:pPr>
              <w:contextualSpacing/>
              <w:rPr>
                <w:rFonts w:eastAsiaTheme="minorHAnsi" w:cstheme="minorHAnsi"/>
                <w:highlight w:val="yellow"/>
              </w:rPr>
            </w:pPr>
            <w:proofErr w:type="spellStart"/>
            <w:r w:rsidRPr="005F3ADD">
              <w:rPr>
                <w:rFonts w:eastAsiaTheme="minorHAnsi" w:cstheme="minorHAnsi"/>
                <w:highlight w:val="yellow"/>
              </w:rPr>
              <w:t>Cl</w:t>
            </w:r>
            <w:proofErr w:type="spellEnd"/>
            <w:r w:rsidRPr="005F3ADD">
              <w:rPr>
                <w:rFonts w:eastAsiaTheme="minorHAnsi" w:cstheme="minorHAnsi"/>
                <w:highlight w:val="yellow"/>
              </w:rPr>
              <w:t xml:space="preserve">= </w:t>
            </w:r>
            <w:r w:rsidRPr="005F3ADD">
              <w:rPr>
                <w:rFonts w:eastAsiaTheme="minorHAnsi" w:cstheme="minorHAnsi"/>
                <w:highlight w:val="yellow"/>
                <w:u w:val="single"/>
              </w:rPr>
              <w:t xml:space="preserve">Dose (F)(S)  </w:t>
            </w:r>
            <w:r w:rsidRPr="005F3ADD">
              <w:rPr>
                <w:rFonts w:eastAsiaTheme="minorHAnsi" w:cstheme="minorHAnsi"/>
                <w:highlight w:val="yellow"/>
              </w:rPr>
              <w:t xml:space="preserve"> = </w:t>
            </w:r>
            <w:r>
              <w:rPr>
                <w:rFonts w:eastAsiaTheme="minorHAnsi" w:cstheme="minorHAnsi"/>
                <w:highlight w:val="yellow"/>
                <w:u w:val="single"/>
              </w:rPr>
              <w:t>(1</w:t>
            </w:r>
            <w:r w:rsidRPr="005F3ADD">
              <w:rPr>
                <w:rFonts w:eastAsiaTheme="minorHAnsi" w:cstheme="minorHAnsi"/>
                <w:highlight w:val="yellow"/>
                <w:u w:val="single"/>
              </w:rPr>
              <w:t xml:space="preserve">00mg-dose </w:t>
            </w:r>
            <w:proofErr w:type="spellStart"/>
            <w:r w:rsidRPr="005F3ADD">
              <w:rPr>
                <w:rFonts w:eastAsiaTheme="minorHAnsi" w:cstheme="minorHAnsi"/>
                <w:highlight w:val="yellow"/>
                <w:u w:val="single"/>
              </w:rPr>
              <w:t>pt</w:t>
            </w:r>
            <w:proofErr w:type="spellEnd"/>
            <w:r w:rsidRPr="005F3ADD">
              <w:rPr>
                <w:rFonts w:eastAsiaTheme="minorHAnsi" w:cstheme="minorHAnsi"/>
                <w:highlight w:val="yellow"/>
                <w:u w:val="single"/>
              </w:rPr>
              <w:t xml:space="preserve"> on at home) (1)(1- on theophylline at home salt=1)</w:t>
            </w:r>
          </w:p>
          <w:p w:rsidR="009D376B" w:rsidRPr="005F3ADD" w:rsidRDefault="009D376B" w:rsidP="009D376B">
            <w:pPr>
              <w:contextualSpacing/>
              <w:rPr>
                <w:rFonts w:eastAsiaTheme="minorHAnsi" w:cstheme="minorHAnsi"/>
                <w:highlight w:val="yellow"/>
              </w:rPr>
            </w:pPr>
            <w:r w:rsidRPr="005F3ADD">
              <w:rPr>
                <w:rFonts w:eastAsiaTheme="minorHAnsi" w:cstheme="minorHAnsi"/>
                <w:highlight w:val="yellow"/>
              </w:rPr>
              <w:t xml:space="preserve">         (</w:t>
            </w:r>
            <w:proofErr w:type="spellStart"/>
            <w:r w:rsidRPr="005F3ADD">
              <w:rPr>
                <w:rFonts w:eastAsiaTheme="minorHAnsi" w:cstheme="minorHAnsi"/>
                <w:highlight w:val="yellow"/>
              </w:rPr>
              <w:t>Css</w:t>
            </w:r>
            <w:proofErr w:type="spellEnd"/>
            <w:r w:rsidRPr="005F3ADD">
              <w:rPr>
                <w:rFonts w:eastAsiaTheme="minorHAnsi" w:cstheme="minorHAnsi"/>
                <w:highlight w:val="yellow"/>
              </w:rPr>
              <w:t>)(</w:t>
            </w:r>
            <w:r w:rsidRPr="005F3ADD">
              <w:rPr>
                <w:rFonts w:eastAsiaTheme="minorHAnsi" w:cstheme="minorHAnsi"/>
                <w:highlight w:val="yellow"/>
              </w:rPr>
              <w:sym w:font="Symbol" w:char="F074"/>
            </w:r>
            <w:r w:rsidRPr="005F3ADD">
              <w:rPr>
                <w:rFonts w:eastAsiaTheme="minorHAnsi" w:cstheme="minorHAnsi"/>
                <w:highlight w:val="yellow"/>
              </w:rPr>
              <w:t>)                           (3mcg/ml)(24 hours)</w:t>
            </w:r>
          </w:p>
          <w:p w:rsidR="009D376B" w:rsidRPr="005F3ADD" w:rsidRDefault="009D376B" w:rsidP="009D376B">
            <w:pPr>
              <w:rPr>
                <w:rFonts w:eastAsiaTheme="minorHAnsi" w:cstheme="minorHAnsi"/>
                <w:highlight w:val="yellow"/>
              </w:rPr>
            </w:pPr>
            <w:r w:rsidRPr="005F3ADD">
              <w:rPr>
                <w:rFonts w:eastAsiaTheme="minorHAnsi" w:cstheme="minorHAnsi"/>
                <w:highlight w:val="yellow"/>
              </w:rPr>
              <w:t xml:space="preserve">Actual theophylline </w:t>
            </w:r>
            <w:r w:rsidR="00171C6A">
              <w:rPr>
                <w:rFonts w:eastAsiaTheme="minorHAnsi" w:cstheme="minorHAnsi"/>
                <w:highlight w:val="yellow"/>
              </w:rPr>
              <w:t>clearance = 1.4</w:t>
            </w:r>
            <w:r w:rsidRPr="005F3ADD">
              <w:rPr>
                <w:rFonts w:eastAsiaTheme="minorHAnsi" w:cstheme="minorHAnsi"/>
                <w:highlight w:val="yellow"/>
              </w:rPr>
              <w:t xml:space="preserve"> L/</w:t>
            </w:r>
            <w:proofErr w:type="spellStart"/>
            <w:r w:rsidRPr="005F3ADD">
              <w:rPr>
                <w:rFonts w:eastAsiaTheme="minorHAnsi" w:cstheme="minorHAnsi"/>
                <w:highlight w:val="yellow"/>
              </w:rPr>
              <w:t>hr</w:t>
            </w:r>
            <w:proofErr w:type="spellEnd"/>
          </w:p>
          <w:p w:rsidR="009D376B" w:rsidRPr="005F3ADD" w:rsidRDefault="009D376B" w:rsidP="009D376B">
            <w:pPr>
              <w:rPr>
                <w:rFonts w:eastAsiaTheme="minorHAnsi" w:cstheme="minorHAnsi"/>
                <w:highlight w:val="yellow"/>
              </w:rPr>
            </w:pPr>
            <w:r w:rsidRPr="005F3ADD">
              <w:rPr>
                <w:rFonts w:eastAsiaTheme="minorHAnsi" w:cstheme="minorHAnsi"/>
                <w:highlight w:val="yellow"/>
              </w:rPr>
              <w:t xml:space="preserve">Using this clearance we need to calculate a </w:t>
            </w:r>
            <w:r w:rsidR="00171C6A">
              <w:rPr>
                <w:rFonts w:eastAsiaTheme="minorHAnsi" w:cstheme="minorHAnsi"/>
                <w:highlight w:val="yellow"/>
              </w:rPr>
              <w:t xml:space="preserve">new dose </w:t>
            </w:r>
            <w:r w:rsidRPr="005F3ADD">
              <w:rPr>
                <w:rFonts w:eastAsiaTheme="minorHAnsi" w:cstheme="minorHAnsi"/>
                <w:highlight w:val="yellow"/>
              </w:rPr>
              <w:t>to achieve a goal serum concentration of 8 mcg/ml</w:t>
            </w:r>
            <w:r w:rsidR="00171C6A">
              <w:rPr>
                <w:rFonts w:eastAsiaTheme="minorHAnsi" w:cstheme="minorHAnsi"/>
                <w:highlight w:val="yellow"/>
              </w:rPr>
              <w:t xml:space="preserve"> using theophylline infusion</w:t>
            </w:r>
          </w:p>
          <w:p w:rsidR="009D376B" w:rsidRPr="005F3ADD" w:rsidRDefault="009D376B" w:rsidP="009D376B">
            <w:pPr>
              <w:contextualSpacing/>
              <w:rPr>
                <w:rFonts w:eastAsiaTheme="minorHAnsi" w:cstheme="minorHAnsi"/>
                <w:highlight w:val="yellow"/>
              </w:rPr>
            </w:pPr>
            <w:proofErr w:type="spellStart"/>
            <w:r w:rsidRPr="005F3ADD">
              <w:rPr>
                <w:rFonts w:eastAsiaTheme="minorHAnsi" w:cstheme="minorHAnsi"/>
                <w:highlight w:val="yellow"/>
              </w:rPr>
              <w:t>Ko</w:t>
            </w:r>
            <w:proofErr w:type="spellEnd"/>
            <w:r w:rsidRPr="005F3ADD">
              <w:rPr>
                <w:rFonts w:eastAsiaTheme="minorHAnsi" w:cstheme="minorHAnsi"/>
                <w:highlight w:val="yellow"/>
              </w:rPr>
              <w:t xml:space="preserve">= </w:t>
            </w:r>
            <w:proofErr w:type="spellStart"/>
            <w:r w:rsidRPr="005F3ADD">
              <w:rPr>
                <w:rFonts w:eastAsiaTheme="minorHAnsi" w:cstheme="minorHAnsi"/>
                <w:highlight w:val="yellow"/>
                <w:u w:val="single"/>
              </w:rPr>
              <w:t>Css</w:t>
            </w:r>
            <w:proofErr w:type="spellEnd"/>
            <w:r w:rsidRPr="005F3ADD">
              <w:rPr>
                <w:rFonts w:eastAsiaTheme="minorHAnsi" w:cstheme="minorHAnsi"/>
                <w:highlight w:val="yellow"/>
                <w:u w:val="single"/>
              </w:rPr>
              <w:t xml:space="preserve"> (</w:t>
            </w:r>
            <w:proofErr w:type="spellStart"/>
            <w:r w:rsidRPr="005F3ADD">
              <w:rPr>
                <w:rFonts w:eastAsiaTheme="minorHAnsi" w:cstheme="minorHAnsi"/>
                <w:highlight w:val="yellow"/>
                <w:u w:val="single"/>
              </w:rPr>
              <w:t>Cl</w:t>
            </w:r>
            <w:proofErr w:type="spellEnd"/>
            <w:r w:rsidRPr="005F3ADD">
              <w:rPr>
                <w:rFonts w:eastAsiaTheme="minorHAnsi" w:cstheme="minorHAnsi"/>
                <w:highlight w:val="yellow"/>
                <w:u w:val="single"/>
              </w:rPr>
              <w:t xml:space="preserve">) </w:t>
            </w:r>
            <w:r w:rsidRPr="005F3ADD">
              <w:rPr>
                <w:rFonts w:eastAsiaTheme="minorHAnsi" w:cstheme="minorHAnsi"/>
                <w:highlight w:val="yellow"/>
              </w:rPr>
              <w:t xml:space="preserve"> =  </w:t>
            </w:r>
            <w:r w:rsidR="00171C6A">
              <w:rPr>
                <w:rFonts w:eastAsiaTheme="minorHAnsi" w:cstheme="minorHAnsi"/>
                <w:highlight w:val="yellow"/>
                <w:u w:val="single"/>
              </w:rPr>
              <w:t xml:space="preserve">8 mg/L (1.4 </w:t>
            </w:r>
            <w:r w:rsidRPr="005F3ADD">
              <w:rPr>
                <w:rFonts w:eastAsiaTheme="minorHAnsi" w:cstheme="minorHAnsi"/>
                <w:highlight w:val="yellow"/>
                <w:u w:val="single"/>
              </w:rPr>
              <w:t>L/</w:t>
            </w:r>
            <w:proofErr w:type="spellStart"/>
            <w:r w:rsidRPr="005F3ADD">
              <w:rPr>
                <w:rFonts w:eastAsiaTheme="minorHAnsi" w:cstheme="minorHAnsi"/>
                <w:highlight w:val="yellow"/>
                <w:u w:val="single"/>
              </w:rPr>
              <w:t>hr</w:t>
            </w:r>
            <w:proofErr w:type="spellEnd"/>
            <w:r w:rsidRPr="005F3ADD">
              <w:rPr>
                <w:rFonts w:eastAsiaTheme="minorHAnsi" w:cstheme="minorHAnsi"/>
                <w:highlight w:val="yellow"/>
                <w:u w:val="single"/>
              </w:rPr>
              <w:t>)</w:t>
            </w:r>
            <w:r w:rsidR="00171C6A">
              <w:rPr>
                <w:rFonts w:eastAsiaTheme="minorHAnsi" w:cstheme="minorHAnsi"/>
                <w:highlight w:val="yellow"/>
              </w:rPr>
              <w:t xml:space="preserve">              = 11</w:t>
            </w:r>
            <w:r w:rsidRPr="005F3ADD">
              <w:rPr>
                <w:rFonts w:eastAsiaTheme="minorHAnsi" w:cstheme="minorHAnsi"/>
                <w:highlight w:val="yellow"/>
              </w:rPr>
              <w:t xml:space="preserve"> mg/</w:t>
            </w:r>
            <w:proofErr w:type="spellStart"/>
            <w:r w:rsidRPr="005F3ADD">
              <w:rPr>
                <w:rFonts w:eastAsiaTheme="minorHAnsi" w:cstheme="minorHAnsi"/>
                <w:highlight w:val="yellow"/>
              </w:rPr>
              <w:t>hr</w:t>
            </w:r>
            <w:proofErr w:type="spellEnd"/>
            <w:r w:rsidRPr="005F3ADD">
              <w:rPr>
                <w:rFonts w:eastAsiaTheme="minorHAnsi" w:cstheme="minorHAnsi"/>
                <w:highlight w:val="yellow"/>
              </w:rPr>
              <w:t xml:space="preserve"> </w:t>
            </w:r>
          </w:p>
          <w:p w:rsidR="009D376B" w:rsidRDefault="009D376B" w:rsidP="009D376B">
            <w:pPr>
              <w:rPr>
                <w:rFonts w:eastAsiaTheme="minorHAnsi" w:cstheme="minorHAnsi"/>
              </w:rPr>
            </w:pPr>
            <w:r w:rsidRPr="00E429E6">
              <w:rPr>
                <w:rFonts w:eastAsiaTheme="minorHAnsi" w:cstheme="minorHAnsi"/>
                <w:highlight w:val="yellow"/>
              </w:rPr>
              <w:t xml:space="preserve">              S </w:t>
            </w:r>
            <w:r w:rsidR="00171C6A">
              <w:rPr>
                <w:rFonts w:eastAsiaTheme="minorHAnsi" w:cstheme="minorHAnsi"/>
                <w:highlight w:val="yellow"/>
              </w:rPr>
              <w:t>F          (1</w:t>
            </w:r>
            <w:r w:rsidRPr="00E429E6">
              <w:rPr>
                <w:rFonts w:eastAsiaTheme="minorHAnsi" w:cstheme="minorHAnsi"/>
                <w:highlight w:val="yellow"/>
              </w:rPr>
              <w:t>)</w:t>
            </w:r>
            <w:r w:rsidR="00171C6A">
              <w:rPr>
                <w:rFonts w:eastAsiaTheme="minorHAnsi" w:cstheme="minorHAnsi"/>
                <w:highlight w:val="yellow"/>
              </w:rPr>
              <w:t xml:space="preserve"> (</w:t>
            </w:r>
            <w:r w:rsidR="00171C6A" w:rsidRPr="00171C6A">
              <w:rPr>
                <w:rFonts w:eastAsiaTheme="minorHAnsi" w:cstheme="minorHAnsi"/>
                <w:highlight w:val="yellow"/>
              </w:rPr>
              <w:t xml:space="preserve">1)-for </w:t>
            </w:r>
            <w:proofErr w:type="spellStart"/>
            <w:r w:rsidR="00171C6A" w:rsidRPr="00171C6A">
              <w:rPr>
                <w:rFonts w:eastAsiaTheme="minorHAnsi" w:cstheme="minorHAnsi"/>
                <w:highlight w:val="yellow"/>
              </w:rPr>
              <w:t>theophyllne</w:t>
            </w:r>
            <w:proofErr w:type="spellEnd"/>
          </w:p>
          <w:p w:rsidR="009D376B" w:rsidRDefault="009D376B" w:rsidP="009D376B">
            <w:pPr>
              <w:rPr>
                <w:rFonts w:cstheme="minorHAnsi"/>
              </w:rPr>
            </w:pPr>
          </w:p>
          <w:p w:rsidR="0041380B" w:rsidRDefault="009D376B" w:rsidP="00187683">
            <w:pPr>
              <w:contextualSpacing/>
              <w:rPr>
                <w:rFonts w:cstheme="minorHAnsi"/>
                <w:u w:val="single"/>
              </w:rPr>
            </w:pPr>
            <w:r w:rsidRPr="009D376B">
              <w:rPr>
                <w:rFonts w:cstheme="minorHAnsi"/>
                <w:u w:val="single"/>
              </w:rPr>
              <w:t>Infusion rate:</w:t>
            </w:r>
            <w:r w:rsidR="00171C6A">
              <w:rPr>
                <w:rFonts w:cstheme="minorHAnsi"/>
                <w:u w:val="single"/>
              </w:rPr>
              <w:t xml:space="preserve"> 400 mg/500 ml= 0.8 mg/ml</w:t>
            </w:r>
          </w:p>
          <w:p w:rsidR="00171C6A" w:rsidRPr="00171C6A" w:rsidRDefault="00171C6A" w:rsidP="00187683">
            <w:pPr>
              <w:contextualSpacing/>
              <w:rPr>
                <w:rFonts w:cstheme="minorHAnsi"/>
                <w:highlight w:val="yellow"/>
              </w:rPr>
            </w:pPr>
            <w:r w:rsidRPr="00171C6A">
              <w:rPr>
                <w:rFonts w:cstheme="minorHAnsi"/>
                <w:highlight w:val="yellow"/>
                <w:u w:val="single"/>
              </w:rPr>
              <w:t>1 ml</w:t>
            </w:r>
            <w:r w:rsidRPr="00171C6A">
              <w:rPr>
                <w:rFonts w:cstheme="minorHAnsi"/>
                <w:highlight w:val="yellow"/>
              </w:rPr>
              <w:t xml:space="preserve">       x </w:t>
            </w:r>
            <w:r w:rsidRPr="00171C6A">
              <w:rPr>
                <w:rFonts w:cstheme="minorHAnsi"/>
                <w:highlight w:val="yellow"/>
                <w:u w:val="single"/>
              </w:rPr>
              <w:t>11 mg</w:t>
            </w:r>
            <w:r w:rsidRPr="00171C6A">
              <w:rPr>
                <w:rFonts w:cstheme="minorHAnsi"/>
                <w:highlight w:val="yellow"/>
              </w:rPr>
              <w:t xml:space="preserve">   = 13.75 round to 14 ml/</w:t>
            </w:r>
            <w:proofErr w:type="spellStart"/>
            <w:r w:rsidRPr="00171C6A">
              <w:rPr>
                <w:rFonts w:cstheme="minorHAnsi"/>
                <w:highlight w:val="yellow"/>
              </w:rPr>
              <w:t>hr</w:t>
            </w:r>
            <w:proofErr w:type="spellEnd"/>
          </w:p>
          <w:p w:rsidR="00171C6A" w:rsidRPr="00171C6A" w:rsidRDefault="00171C6A" w:rsidP="00171C6A">
            <w:pPr>
              <w:tabs>
                <w:tab w:val="left" w:pos="1665"/>
              </w:tabs>
              <w:contextualSpacing/>
              <w:rPr>
                <w:rFonts w:cstheme="minorHAnsi"/>
              </w:rPr>
            </w:pPr>
            <w:r w:rsidRPr="00171C6A">
              <w:rPr>
                <w:rFonts w:cstheme="minorHAnsi"/>
                <w:highlight w:val="yellow"/>
              </w:rPr>
              <w:t xml:space="preserve">0.8 mg         </w:t>
            </w:r>
            <w:proofErr w:type="spellStart"/>
            <w:r w:rsidRPr="00171C6A">
              <w:rPr>
                <w:rFonts w:cstheme="minorHAnsi"/>
                <w:highlight w:val="yellow"/>
              </w:rPr>
              <w:t>hr</w:t>
            </w:r>
            <w:proofErr w:type="spellEnd"/>
            <w:r>
              <w:rPr>
                <w:rFonts w:cstheme="minorHAnsi"/>
              </w:rPr>
              <w:tab/>
            </w:r>
          </w:p>
          <w:p w:rsidR="009D376B" w:rsidRPr="00A4647F" w:rsidRDefault="009D376B" w:rsidP="00187683">
            <w:pPr>
              <w:contextualSpacing/>
              <w:rPr>
                <w:rFonts w:cstheme="minorHAnsi"/>
              </w:rPr>
            </w:pPr>
          </w:p>
        </w:tc>
      </w:tr>
    </w:tbl>
    <w:p w:rsidR="00187683" w:rsidRDefault="00187683" w:rsidP="00187683">
      <w:pPr>
        <w:rPr>
          <w:rFonts w:cstheme="minorHAnsi"/>
          <w:b/>
        </w:rPr>
      </w:pPr>
      <w:r w:rsidRPr="00A4647F">
        <w:rPr>
          <w:rFonts w:cstheme="minorHAnsi"/>
          <w:b/>
        </w:rPr>
        <w:t>Question 2:</w:t>
      </w:r>
    </w:p>
    <w:tbl>
      <w:tblPr>
        <w:tblStyle w:val="TableGrid"/>
        <w:tblpPr w:leftFromText="180" w:rightFromText="180" w:vertAnchor="text" w:tblpY="50"/>
        <w:tblW w:w="9648" w:type="dxa"/>
        <w:tblLook w:val="04A0" w:firstRow="1" w:lastRow="0" w:firstColumn="1" w:lastColumn="0" w:noHBand="0" w:noVBand="1"/>
      </w:tblPr>
      <w:tblGrid>
        <w:gridCol w:w="9648"/>
      </w:tblGrid>
      <w:tr w:rsidR="0041380B" w:rsidRPr="00A4647F" w:rsidTr="0041380B">
        <w:trPr>
          <w:trHeight w:val="2507"/>
        </w:trPr>
        <w:tc>
          <w:tcPr>
            <w:tcW w:w="9648" w:type="dxa"/>
          </w:tcPr>
          <w:p w:rsidR="009D376B" w:rsidRDefault="0041380B" w:rsidP="009D376B">
            <w:pPr>
              <w:rPr>
                <w:color w:val="FF0000"/>
              </w:rPr>
            </w:pPr>
            <w:proofErr w:type="spellStart"/>
            <w:r w:rsidRPr="009D376B">
              <w:rPr>
                <w:rFonts w:cstheme="minorHAnsi"/>
                <w:color w:val="FF0000"/>
                <w:sz w:val="24"/>
                <w:szCs w:val="24"/>
              </w:rPr>
              <w:t>a.</w:t>
            </w:r>
            <w:r w:rsidR="009D376B" w:rsidRPr="0094521C">
              <w:rPr>
                <w:b/>
                <w:color w:val="FF0000"/>
              </w:rPr>
              <w:t>Goal</w:t>
            </w:r>
            <w:proofErr w:type="spellEnd"/>
            <w:r w:rsidR="009D376B" w:rsidRPr="0094521C">
              <w:rPr>
                <w:b/>
                <w:color w:val="FF0000"/>
              </w:rPr>
              <w:t>:</w:t>
            </w:r>
            <w:r w:rsidR="009D376B">
              <w:rPr>
                <w:b/>
                <w:color w:val="FF0000"/>
              </w:rPr>
              <w:t xml:space="preserve"> </w:t>
            </w:r>
            <w:r w:rsidR="009D376B">
              <w:rPr>
                <w:color w:val="FF0000"/>
              </w:rPr>
              <w:t xml:space="preserve"> 0.8-1 </w:t>
            </w:r>
            <w:proofErr w:type="spellStart"/>
            <w:r w:rsidR="009D376B">
              <w:rPr>
                <w:color w:val="FF0000"/>
              </w:rPr>
              <w:t>mmol</w:t>
            </w:r>
            <w:proofErr w:type="spellEnd"/>
            <w:r w:rsidR="009D376B">
              <w:rPr>
                <w:color w:val="FF0000"/>
              </w:rPr>
              <w:t>/L because CN is experiencing an acute manic attack.  Mania can increase lithium clearance by as much as 50%, which decreases lithium concentrations.   A higher dose may be needed to achieve therapeutic goals.</w:t>
            </w:r>
          </w:p>
          <w:p w:rsidR="009D376B" w:rsidRDefault="009D376B" w:rsidP="009D376B">
            <w:pPr>
              <w:rPr>
                <w:color w:val="FF0000"/>
              </w:rPr>
            </w:pPr>
          </w:p>
          <w:p w:rsidR="009D376B" w:rsidRDefault="009D376B" w:rsidP="009D376B">
            <w:pPr>
              <w:rPr>
                <w:color w:val="FF0000"/>
              </w:rPr>
            </w:pPr>
            <w:r>
              <w:rPr>
                <w:b/>
                <w:color w:val="FF0000"/>
              </w:rPr>
              <w:t xml:space="preserve">b. </w:t>
            </w:r>
            <w:r w:rsidRPr="001009A6">
              <w:rPr>
                <w:b/>
                <w:color w:val="FF0000"/>
              </w:rPr>
              <w:t>Behavior</w:t>
            </w:r>
            <w:r>
              <w:rPr>
                <w:b/>
                <w:color w:val="FF0000"/>
              </w:rPr>
              <w:t>al</w:t>
            </w:r>
            <w:r w:rsidRPr="001009A6">
              <w:rPr>
                <w:b/>
                <w:color w:val="FF0000"/>
              </w:rPr>
              <w:t xml:space="preserve"> changes:</w:t>
            </w:r>
            <w:r>
              <w:rPr>
                <w:b/>
                <w:color w:val="FF0000"/>
              </w:rPr>
              <w:t xml:space="preserve">  </w:t>
            </w:r>
            <w:r>
              <w:rPr>
                <w:color w:val="FF0000"/>
              </w:rPr>
              <w:t>onset of action is generally 1-2 weeks; however, a 4-6 week period may be necessary to assess complete response to lithium therapy</w:t>
            </w:r>
          </w:p>
          <w:p w:rsidR="009D376B" w:rsidRDefault="009D376B" w:rsidP="009D376B">
            <w:pPr>
              <w:rPr>
                <w:color w:val="FF0000"/>
              </w:rPr>
            </w:pPr>
          </w:p>
          <w:p w:rsidR="009D376B" w:rsidRPr="001009A6" w:rsidRDefault="009D376B" w:rsidP="009D376B">
            <w:pPr>
              <w:rPr>
                <w:color w:val="FF0000"/>
              </w:rPr>
            </w:pPr>
            <w:r>
              <w:rPr>
                <w:b/>
                <w:color w:val="FF0000"/>
              </w:rPr>
              <w:t xml:space="preserve">c. </w:t>
            </w:r>
            <w:r w:rsidRPr="001009A6">
              <w:rPr>
                <w:b/>
                <w:color w:val="FF0000"/>
              </w:rPr>
              <w:t>Lithium levels:</w:t>
            </w:r>
            <w:r>
              <w:rPr>
                <w:b/>
                <w:color w:val="FF0000"/>
              </w:rPr>
              <w:t xml:space="preserve">  </w:t>
            </w:r>
            <w:r>
              <w:rPr>
                <w:color w:val="FF0000"/>
              </w:rPr>
              <w:t xml:space="preserve">Steady-state is reached in 3-5 days.  The level should be measured just before the first morning dose (which ideally should be 12 hours after the last evening dose).  Once the manic phase resolves, levels should be checked again and the therapeutic goal should be adjusted to 0.6-0.8 </w:t>
            </w:r>
            <w:proofErr w:type="spellStart"/>
            <w:r>
              <w:rPr>
                <w:color w:val="FF0000"/>
              </w:rPr>
              <w:t>mmol</w:t>
            </w:r>
            <w:proofErr w:type="spellEnd"/>
            <w:r>
              <w:rPr>
                <w:color w:val="FF0000"/>
              </w:rPr>
              <w:t>/L.  This may require a dose reduction as lithium clearance should return to baseline once mania is resolved.</w:t>
            </w:r>
          </w:p>
          <w:p w:rsidR="0041380B" w:rsidRPr="0041380B" w:rsidRDefault="0041380B" w:rsidP="0041380B">
            <w:pPr>
              <w:contextualSpacing/>
              <w:rPr>
                <w:rFonts w:cstheme="minorHAnsi"/>
                <w:sz w:val="24"/>
                <w:szCs w:val="24"/>
              </w:rPr>
            </w:pPr>
          </w:p>
        </w:tc>
      </w:tr>
    </w:tbl>
    <w:p w:rsidR="00314644" w:rsidRDefault="00314644" w:rsidP="008C26D9">
      <w:pPr>
        <w:spacing w:line="240" w:lineRule="auto"/>
        <w:contextualSpacing/>
        <w:rPr>
          <w:rFonts w:cstheme="minorHAnsi"/>
          <w:b/>
        </w:rPr>
      </w:pPr>
    </w:p>
    <w:p w:rsidR="00B53864" w:rsidRPr="00A4647F" w:rsidRDefault="00BA0A07" w:rsidP="008C26D9">
      <w:pPr>
        <w:spacing w:line="240" w:lineRule="auto"/>
        <w:contextualSpacing/>
        <w:rPr>
          <w:rFonts w:cstheme="minorHAnsi"/>
          <w:b/>
        </w:rPr>
      </w:pPr>
      <w:r w:rsidRPr="00A4647F">
        <w:rPr>
          <w:rFonts w:cstheme="minorHAnsi"/>
          <w:b/>
        </w:rPr>
        <w:t>Question 3:</w:t>
      </w:r>
      <w:bookmarkStart w:id="2" w:name="_GoBack"/>
      <w:bookmarkEnd w:id="2"/>
    </w:p>
    <w:p w:rsidR="00BA0A07" w:rsidRPr="00A4647F" w:rsidRDefault="00A17A1D" w:rsidP="00B53864">
      <w:pPr>
        <w:rPr>
          <w:rFonts w:cstheme="minorHAnsi"/>
        </w:rPr>
      </w:pPr>
      <w:r w:rsidRPr="00A4647F">
        <w:rPr>
          <w:rFonts w:cstheme="minorHAnsi"/>
          <w:b/>
          <w:noProof/>
        </w:rPr>
        <mc:AlternateContent>
          <mc:Choice Requires="wps">
            <w:drawing>
              <wp:anchor distT="0" distB="0" distL="114300" distR="114300" simplePos="0" relativeHeight="251660288" behindDoc="0" locked="0" layoutInCell="1" allowOverlap="1" wp14:anchorId="67BAC0EA" wp14:editId="0287B6C4">
                <wp:simplePos x="0" y="0"/>
                <wp:positionH relativeFrom="column">
                  <wp:posOffset>-161925</wp:posOffset>
                </wp:positionH>
                <wp:positionV relativeFrom="paragraph">
                  <wp:posOffset>179070</wp:posOffset>
                </wp:positionV>
                <wp:extent cx="6119495" cy="1419225"/>
                <wp:effectExtent l="0" t="0" r="1460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419225"/>
                        </a:xfrm>
                        <a:prstGeom prst="rect">
                          <a:avLst/>
                        </a:prstGeom>
                        <a:solidFill>
                          <a:srgbClr val="FFFFFF"/>
                        </a:solidFill>
                        <a:ln w="9525">
                          <a:solidFill>
                            <a:srgbClr val="000000"/>
                          </a:solidFill>
                          <a:miter lim="800000"/>
                          <a:headEnd/>
                          <a:tailEnd/>
                        </a:ln>
                      </wps:spPr>
                      <wps:txbx>
                        <w:txbxContent>
                          <w:p w:rsidR="009D376B" w:rsidRDefault="0041380B" w:rsidP="009D376B">
                            <w:pPr>
                              <w:rPr>
                                <w:color w:val="FF0000"/>
                              </w:rPr>
                            </w:pPr>
                            <w:r>
                              <w:t xml:space="preserve">a. </w:t>
                            </w:r>
                            <w:r w:rsidR="009D376B" w:rsidRPr="00DF3066">
                              <w:rPr>
                                <w:b/>
                                <w:color w:val="FF0000"/>
                              </w:rPr>
                              <w:t>Cause</w:t>
                            </w:r>
                            <w:r w:rsidR="009D376B">
                              <w:rPr>
                                <w:b/>
                                <w:color w:val="FF0000"/>
                              </w:rPr>
                              <w:t xml:space="preserve">:  </w:t>
                            </w:r>
                            <w:r w:rsidR="009D376B">
                              <w:rPr>
                                <w:color w:val="FF0000"/>
                              </w:rPr>
                              <w:t xml:space="preserve">Possible lithium toxicity (N/V, diarrhea, confusion, tremor, slurred speech) – likely moderate toxicity given symptoms.  This is most likely due to CN’s </w:t>
                            </w:r>
                            <w:r w:rsidR="009D376B" w:rsidRPr="00DF3066">
                              <w:rPr>
                                <w:i/>
                                <w:color w:val="FF0000"/>
                              </w:rPr>
                              <w:t>regular</w:t>
                            </w:r>
                            <w:r w:rsidR="009D376B">
                              <w:rPr>
                                <w:color w:val="FF0000"/>
                              </w:rPr>
                              <w:t xml:space="preserve"> use of ibuprofen. NSAIDs have been shown to decrease lithium clearance and thereby increase lithium concentrations </w:t>
                            </w:r>
                            <w:r w:rsidR="009D376B" w:rsidRPr="00DF3066">
                              <w:rPr>
                                <w:color w:val="FF0000"/>
                              </w:rPr>
                              <w:sym w:font="Wingdings" w:char="F0E0"/>
                            </w:r>
                            <w:r w:rsidR="009D376B">
                              <w:rPr>
                                <w:color w:val="FF0000"/>
                              </w:rPr>
                              <w:t xml:space="preserve"> toxicity.  </w:t>
                            </w:r>
                          </w:p>
                          <w:p w:rsidR="009D376B" w:rsidRPr="00DF3066" w:rsidRDefault="009D376B" w:rsidP="009D376B">
                            <w:pPr>
                              <w:rPr>
                                <w:color w:val="FF0000"/>
                              </w:rPr>
                            </w:pPr>
                            <w:r>
                              <w:rPr>
                                <w:b/>
                                <w:color w:val="FF0000"/>
                              </w:rPr>
                              <w:t xml:space="preserve">Action:  </w:t>
                            </w:r>
                            <w:r>
                              <w:rPr>
                                <w:color w:val="FF0000"/>
                              </w:rPr>
                              <w:t xml:space="preserve">Measure serum lithium concentration and relevant laboratory data (Na, Mg, K, </w:t>
                            </w:r>
                            <w:proofErr w:type="spellStart"/>
                            <w:r>
                              <w:rPr>
                                <w:color w:val="FF0000"/>
                              </w:rPr>
                              <w:t>Scr</w:t>
                            </w:r>
                            <w:proofErr w:type="spellEnd"/>
                            <w:r>
                              <w:rPr>
                                <w:color w:val="FF0000"/>
                              </w:rPr>
                              <w:t xml:space="preserve">, BUN, K, </w:t>
                            </w:r>
                            <w:proofErr w:type="gramStart"/>
                            <w:r>
                              <w:rPr>
                                <w:color w:val="FF0000"/>
                              </w:rPr>
                              <w:t>WBC</w:t>
                            </w:r>
                            <w:proofErr w:type="gramEnd"/>
                            <w:r>
                              <w:rPr>
                                <w:color w:val="FF0000"/>
                              </w:rPr>
                              <w:t xml:space="preserve">).  Hold lithium until CN’s symptoms resolve and lithium level is in the therapeutic range.  </w:t>
                            </w:r>
                            <w:proofErr w:type="gramStart"/>
                            <w:r>
                              <w:rPr>
                                <w:color w:val="FF0000"/>
                              </w:rPr>
                              <w:t>DC ibuprofen.</w:t>
                            </w:r>
                            <w:proofErr w:type="gramEnd"/>
                            <w:r>
                              <w:rPr>
                                <w:color w:val="FF0000"/>
                              </w:rPr>
                              <w:t xml:space="preserve">  Consider acetaminophen for headache relief.</w:t>
                            </w:r>
                          </w:p>
                          <w:p w:rsidR="00E429E6" w:rsidRDefault="00E429E6" w:rsidP="00BA0A07"/>
                          <w:p w:rsidR="00E429E6" w:rsidRDefault="00E429E6" w:rsidP="00BA0A07"/>
                          <w:p w:rsidR="00E429E6" w:rsidRDefault="00E429E6" w:rsidP="00BA0A07"/>
                          <w:p w:rsidR="00E429E6" w:rsidRDefault="00E429E6" w:rsidP="00BA0A07"/>
                          <w:p w:rsidR="00E429E6" w:rsidRDefault="00E429E6" w:rsidP="00BA0A07"/>
                          <w:p w:rsidR="00E429E6" w:rsidRPr="00BA0A07" w:rsidRDefault="00E429E6" w:rsidP="00BA0A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75pt;margin-top:14.1pt;width:481.85pt;height:1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">
                <v:textbox>
                  <w:txbxContent>
                    <w:p w:rsidR="009D376B" w:rsidRDefault="0041380B" w:rsidP="009D376B">
                      <w:pPr>
                        <w:rPr>
                          <w:color w:val="FF0000"/>
                        </w:rPr>
                      </w:pPr>
                      <w:r>
                        <w:t xml:space="preserve">a. </w:t>
                      </w:r>
                      <w:r w:rsidR="009D376B" w:rsidRPr="00DF3066">
                        <w:rPr>
                          <w:b/>
                          <w:color w:val="FF0000"/>
                        </w:rPr>
                        <w:t>Cause</w:t>
                      </w:r>
                      <w:r w:rsidR="009D376B">
                        <w:rPr>
                          <w:b/>
                          <w:color w:val="FF0000"/>
                        </w:rPr>
                        <w:t xml:space="preserve">:  </w:t>
                      </w:r>
                      <w:r w:rsidR="009D376B">
                        <w:rPr>
                          <w:color w:val="FF0000"/>
                        </w:rPr>
                        <w:t xml:space="preserve">Possible lithium toxicity (N/V, diarrhea, confusion, tremor, slurred speech) – likely moderate toxicity given symptoms.  This is most likely due to CN’s </w:t>
                      </w:r>
                      <w:r w:rsidR="009D376B" w:rsidRPr="00DF3066">
                        <w:rPr>
                          <w:i/>
                          <w:color w:val="FF0000"/>
                        </w:rPr>
                        <w:t>regular</w:t>
                      </w:r>
                      <w:r w:rsidR="009D376B">
                        <w:rPr>
                          <w:color w:val="FF0000"/>
                        </w:rPr>
                        <w:t xml:space="preserve"> use of ibuprofen. NSAIDs have been shown to decrease lithium clearance and thereby increase lithium concentrations </w:t>
                      </w:r>
                      <w:r w:rsidR="009D376B" w:rsidRPr="00DF3066">
                        <w:rPr>
                          <w:color w:val="FF0000"/>
                        </w:rPr>
                        <w:sym w:font="Wingdings" w:char="F0E0"/>
                      </w:r>
                      <w:r w:rsidR="009D376B">
                        <w:rPr>
                          <w:color w:val="FF0000"/>
                        </w:rPr>
                        <w:t xml:space="preserve"> toxicity.  </w:t>
                      </w:r>
                    </w:p>
                    <w:p w:rsidR="009D376B" w:rsidRPr="00DF3066" w:rsidRDefault="009D376B" w:rsidP="009D376B">
                      <w:pPr>
                        <w:rPr>
                          <w:color w:val="FF0000"/>
                        </w:rPr>
                      </w:pPr>
                      <w:r>
                        <w:rPr>
                          <w:b/>
                          <w:color w:val="FF0000"/>
                        </w:rPr>
                        <w:t xml:space="preserve">Action:  </w:t>
                      </w:r>
                      <w:r>
                        <w:rPr>
                          <w:color w:val="FF0000"/>
                        </w:rPr>
                        <w:t xml:space="preserve">Measure serum lithium concentration and relevant laboratory data (Na, Mg, K, </w:t>
                      </w:r>
                      <w:proofErr w:type="spellStart"/>
                      <w:r>
                        <w:rPr>
                          <w:color w:val="FF0000"/>
                        </w:rPr>
                        <w:t>Scr</w:t>
                      </w:r>
                      <w:proofErr w:type="spellEnd"/>
                      <w:r>
                        <w:rPr>
                          <w:color w:val="FF0000"/>
                        </w:rPr>
                        <w:t xml:space="preserve">, BUN, K, </w:t>
                      </w:r>
                      <w:proofErr w:type="gramStart"/>
                      <w:r>
                        <w:rPr>
                          <w:color w:val="FF0000"/>
                        </w:rPr>
                        <w:t>WBC</w:t>
                      </w:r>
                      <w:proofErr w:type="gramEnd"/>
                      <w:r>
                        <w:rPr>
                          <w:color w:val="FF0000"/>
                        </w:rPr>
                        <w:t xml:space="preserve">).  Hold lithium until CN’s symptoms resolve and lithium level is in the therapeutic range.  </w:t>
                      </w:r>
                      <w:proofErr w:type="gramStart"/>
                      <w:r>
                        <w:rPr>
                          <w:color w:val="FF0000"/>
                        </w:rPr>
                        <w:t>DC ibuprofen.</w:t>
                      </w:r>
                      <w:proofErr w:type="gramEnd"/>
                      <w:r>
                        <w:rPr>
                          <w:color w:val="FF0000"/>
                        </w:rPr>
                        <w:t xml:space="preserve">  Consider acetaminophen for headache relief.</w:t>
                      </w:r>
                    </w:p>
                    <w:p w:rsidR="00E429E6" w:rsidRDefault="00E429E6" w:rsidP="00BA0A07"/>
                    <w:p w:rsidR="00E429E6" w:rsidRDefault="00E429E6" w:rsidP="00BA0A07"/>
                    <w:p w:rsidR="00E429E6" w:rsidRDefault="00E429E6" w:rsidP="00BA0A07"/>
                    <w:p w:rsidR="00E429E6" w:rsidRDefault="00E429E6" w:rsidP="00BA0A07"/>
                    <w:p w:rsidR="00E429E6" w:rsidRDefault="00E429E6" w:rsidP="00BA0A07"/>
                    <w:p w:rsidR="00E429E6" w:rsidRPr="00BA0A07" w:rsidRDefault="00E429E6" w:rsidP="00BA0A07"/>
                  </w:txbxContent>
                </v:textbox>
              </v:shape>
            </w:pict>
          </mc:Fallback>
        </mc:AlternateContent>
      </w:r>
    </w:p>
    <w:p w:rsidR="00BA0A07" w:rsidRPr="00A4647F" w:rsidRDefault="00BA0A07" w:rsidP="00B53864">
      <w:pPr>
        <w:rPr>
          <w:rFonts w:cstheme="minorHAnsi"/>
        </w:rPr>
      </w:pPr>
    </w:p>
    <w:p w:rsidR="003A6227" w:rsidRPr="00A4647F" w:rsidRDefault="003A6227" w:rsidP="003A6227">
      <w:pPr>
        <w:spacing w:after="0"/>
        <w:rPr>
          <w:rFonts w:cstheme="minorHAnsi"/>
        </w:rPr>
      </w:pPr>
    </w:p>
    <w:sectPr w:rsidR="003A6227" w:rsidRPr="00A4647F" w:rsidSect="00FC5B6B">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473"/>
    <w:multiLevelType w:val="hybridMultilevel"/>
    <w:tmpl w:val="E6945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B4270"/>
    <w:multiLevelType w:val="hybridMultilevel"/>
    <w:tmpl w:val="D3469DAC"/>
    <w:lvl w:ilvl="0" w:tplc="6A7A250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34F134AE"/>
    <w:multiLevelType w:val="hybridMultilevel"/>
    <w:tmpl w:val="4FF28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417BA"/>
    <w:multiLevelType w:val="hybridMultilevel"/>
    <w:tmpl w:val="DD1E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BB14C9"/>
    <w:multiLevelType w:val="hybridMultilevel"/>
    <w:tmpl w:val="217AA374"/>
    <w:lvl w:ilvl="0" w:tplc="04090019">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DE3"/>
    <w:rsid w:val="00087C7A"/>
    <w:rsid w:val="000C1C7B"/>
    <w:rsid w:val="000D4BE2"/>
    <w:rsid w:val="000E520B"/>
    <w:rsid w:val="000F6DE3"/>
    <w:rsid w:val="00161828"/>
    <w:rsid w:val="001663DF"/>
    <w:rsid w:val="00171C6A"/>
    <w:rsid w:val="00187683"/>
    <w:rsid w:val="001B033C"/>
    <w:rsid w:val="001B5F50"/>
    <w:rsid w:val="00255A2E"/>
    <w:rsid w:val="0028333A"/>
    <w:rsid w:val="002939A1"/>
    <w:rsid w:val="00314644"/>
    <w:rsid w:val="00387C47"/>
    <w:rsid w:val="003A6227"/>
    <w:rsid w:val="00403D98"/>
    <w:rsid w:val="0041380B"/>
    <w:rsid w:val="00441A88"/>
    <w:rsid w:val="004516DC"/>
    <w:rsid w:val="004D68C0"/>
    <w:rsid w:val="004F0514"/>
    <w:rsid w:val="00587073"/>
    <w:rsid w:val="005D407D"/>
    <w:rsid w:val="005F3ADD"/>
    <w:rsid w:val="00674F2F"/>
    <w:rsid w:val="006D666A"/>
    <w:rsid w:val="00724C58"/>
    <w:rsid w:val="0073486A"/>
    <w:rsid w:val="00757EB2"/>
    <w:rsid w:val="007C2896"/>
    <w:rsid w:val="00842708"/>
    <w:rsid w:val="00893E8A"/>
    <w:rsid w:val="008C26D9"/>
    <w:rsid w:val="008C5DC8"/>
    <w:rsid w:val="008E13AC"/>
    <w:rsid w:val="00901FDF"/>
    <w:rsid w:val="009B46B1"/>
    <w:rsid w:val="009D376B"/>
    <w:rsid w:val="00A0490F"/>
    <w:rsid w:val="00A17A1D"/>
    <w:rsid w:val="00A23C9D"/>
    <w:rsid w:val="00A31BE6"/>
    <w:rsid w:val="00A4647F"/>
    <w:rsid w:val="00A92678"/>
    <w:rsid w:val="00A96C2F"/>
    <w:rsid w:val="00AF294E"/>
    <w:rsid w:val="00B07E60"/>
    <w:rsid w:val="00B258EE"/>
    <w:rsid w:val="00B2704F"/>
    <w:rsid w:val="00B40ECC"/>
    <w:rsid w:val="00B53864"/>
    <w:rsid w:val="00BA0A07"/>
    <w:rsid w:val="00BA7502"/>
    <w:rsid w:val="00C0744D"/>
    <w:rsid w:val="00C231EB"/>
    <w:rsid w:val="00C73BED"/>
    <w:rsid w:val="00C84569"/>
    <w:rsid w:val="00CD5503"/>
    <w:rsid w:val="00D6294A"/>
    <w:rsid w:val="00D9410E"/>
    <w:rsid w:val="00DD4408"/>
    <w:rsid w:val="00E429E6"/>
    <w:rsid w:val="00E66727"/>
    <w:rsid w:val="00E667E5"/>
    <w:rsid w:val="00E716F2"/>
    <w:rsid w:val="00F37B1A"/>
    <w:rsid w:val="00F4201E"/>
    <w:rsid w:val="00F518CB"/>
    <w:rsid w:val="00FB4547"/>
    <w:rsid w:val="00FC5B6B"/>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E3"/>
    <w:pPr>
      <w:ind w:left="720"/>
      <w:contextualSpacing/>
    </w:pPr>
  </w:style>
  <w:style w:type="character" w:styleId="Strong">
    <w:name w:val="Strong"/>
    <w:basedOn w:val="DefaultParagraphFont"/>
    <w:uiPriority w:val="22"/>
    <w:qFormat/>
    <w:rsid w:val="001B033C"/>
    <w:rPr>
      <w:b/>
      <w:bCs/>
    </w:rPr>
  </w:style>
  <w:style w:type="table" w:styleId="TableGrid">
    <w:name w:val="Table Grid"/>
    <w:basedOn w:val="TableNormal"/>
    <w:uiPriority w:val="59"/>
    <w:rsid w:val="001876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E3"/>
    <w:pPr>
      <w:ind w:left="720"/>
      <w:contextualSpacing/>
    </w:pPr>
  </w:style>
  <w:style w:type="character" w:styleId="Strong">
    <w:name w:val="Strong"/>
    <w:basedOn w:val="DefaultParagraphFont"/>
    <w:uiPriority w:val="22"/>
    <w:qFormat/>
    <w:rsid w:val="001B033C"/>
    <w:rPr>
      <w:b/>
      <w:bCs/>
    </w:rPr>
  </w:style>
  <w:style w:type="table" w:styleId="TableGrid">
    <w:name w:val="Table Grid"/>
    <w:basedOn w:val="TableNormal"/>
    <w:uiPriority w:val="59"/>
    <w:rsid w:val="001876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0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290569">
      <w:bodyDiv w:val="1"/>
      <w:marLeft w:val="0"/>
      <w:marRight w:val="0"/>
      <w:marTop w:val="0"/>
      <w:marBottom w:val="0"/>
      <w:divBdr>
        <w:top w:val="none" w:sz="0" w:space="0" w:color="auto"/>
        <w:left w:val="none" w:sz="0" w:space="0" w:color="auto"/>
        <w:bottom w:val="none" w:sz="0" w:space="0" w:color="auto"/>
        <w:right w:val="none" w:sz="0" w:space="0" w:color="auto"/>
      </w:divBdr>
      <w:divsChild>
        <w:div w:id="1171334083">
          <w:marLeft w:val="480"/>
          <w:marRight w:val="0"/>
          <w:marTop w:val="0"/>
          <w:marBottom w:val="0"/>
          <w:divBdr>
            <w:top w:val="none" w:sz="0" w:space="0" w:color="auto"/>
            <w:left w:val="none" w:sz="0" w:space="0" w:color="auto"/>
            <w:bottom w:val="none" w:sz="0" w:space="0" w:color="auto"/>
            <w:right w:val="none" w:sz="0" w:space="0" w:color="auto"/>
          </w:divBdr>
          <w:divsChild>
            <w:div w:id="587269259">
              <w:marLeft w:val="480"/>
              <w:marRight w:val="0"/>
              <w:marTop w:val="0"/>
              <w:marBottom w:val="0"/>
              <w:divBdr>
                <w:top w:val="none" w:sz="0" w:space="0" w:color="auto"/>
                <w:left w:val="none" w:sz="0" w:space="0" w:color="auto"/>
                <w:bottom w:val="none" w:sz="0" w:space="0" w:color="auto"/>
                <w:right w:val="none" w:sz="0" w:space="0" w:color="auto"/>
              </w:divBdr>
              <w:divsChild>
                <w:div w:id="811796942">
                  <w:marLeft w:val="480"/>
                  <w:marRight w:val="0"/>
                  <w:marTop w:val="0"/>
                  <w:marBottom w:val="0"/>
                  <w:divBdr>
                    <w:top w:val="none" w:sz="0" w:space="0" w:color="auto"/>
                    <w:left w:val="none" w:sz="0" w:space="0" w:color="auto"/>
                    <w:bottom w:val="none" w:sz="0" w:space="0" w:color="auto"/>
                    <w:right w:val="none" w:sz="0" w:space="0" w:color="auto"/>
                  </w:divBdr>
                  <w:divsChild>
                    <w:div w:id="196823234">
                      <w:marLeft w:val="480"/>
                      <w:marRight w:val="0"/>
                      <w:marTop w:val="0"/>
                      <w:marBottom w:val="0"/>
                      <w:divBdr>
                        <w:top w:val="none" w:sz="0" w:space="0" w:color="auto"/>
                        <w:left w:val="none" w:sz="0" w:space="0" w:color="auto"/>
                        <w:bottom w:val="none" w:sz="0" w:space="0" w:color="auto"/>
                        <w:right w:val="none" w:sz="0" w:space="0" w:color="auto"/>
                      </w:divBdr>
                      <w:divsChild>
                        <w:div w:id="602346671">
                          <w:marLeft w:val="480"/>
                          <w:marRight w:val="0"/>
                          <w:marTop w:val="0"/>
                          <w:marBottom w:val="0"/>
                          <w:divBdr>
                            <w:top w:val="none" w:sz="0" w:space="0" w:color="auto"/>
                            <w:left w:val="none" w:sz="0" w:space="0" w:color="auto"/>
                            <w:bottom w:val="none" w:sz="0" w:space="0" w:color="auto"/>
                            <w:right w:val="none" w:sz="0" w:space="0" w:color="auto"/>
                          </w:divBdr>
                        </w:div>
                      </w:divsChild>
                    </w:div>
                    <w:div w:id="1554075535">
                      <w:marLeft w:val="480"/>
                      <w:marRight w:val="0"/>
                      <w:marTop w:val="0"/>
                      <w:marBottom w:val="0"/>
                      <w:divBdr>
                        <w:top w:val="none" w:sz="0" w:space="0" w:color="auto"/>
                        <w:left w:val="none" w:sz="0" w:space="0" w:color="auto"/>
                        <w:bottom w:val="none" w:sz="0" w:space="0" w:color="auto"/>
                        <w:right w:val="none" w:sz="0" w:space="0" w:color="auto"/>
                      </w:divBdr>
                      <w:divsChild>
                        <w:div w:id="170127612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33472397">
                  <w:marLeft w:val="480"/>
                  <w:marRight w:val="0"/>
                  <w:marTop w:val="0"/>
                  <w:marBottom w:val="0"/>
                  <w:divBdr>
                    <w:top w:val="none" w:sz="0" w:space="0" w:color="auto"/>
                    <w:left w:val="none" w:sz="0" w:space="0" w:color="auto"/>
                    <w:bottom w:val="none" w:sz="0" w:space="0" w:color="auto"/>
                    <w:right w:val="none" w:sz="0" w:space="0" w:color="auto"/>
                  </w:divBdr>
                  <w:divsChild>
                    <w:div w:id="35664368">
                      <w:marLeft w:val="480"/>
                      <w:marRight w:val="0"/>
                      <w:marTop w:val="0"/>
                      <w:marBottom w:val="0"/>
                      <w:divBdr>
                        <w:top w:val="none" w:sz="0" w:space="0" w:color="auto"/>
                        <w:left w:val="none" w:sz="0" w:space="0" w:color="auto"/>
                        <w:bottom w:val="none" w:sz="0" w:space="0" w:color="auto"/>
                        <w:right w:val="none" w:sz="0" w:space="0" w:color="auto"/>
                      </w:divBdr>
                      <w:divsChild>
                        <w:div w:id="756947959">
                          <w:marLeft w:val="480"/>
                          <w:marRight w:val="0"/>
                          <w:marTop w:val="0"/>
                          <w:marBottom w:val="0"/>
                          <w:divBdr>
                            <w:top w:val="none" w:sz="0" w:space="0" w:color="auto"/>
                            <w:left w:val="none" w:sz="0" w:space="0" w:color="auto"/>
                            <w:bottom w:val="none" w:sz="0" w:space="0" w:color="auto"/>
                            <w:right w:val="none" w:sz="0" w:space="0" w:color="auto"/>
                          </w:divBdr>
                        </w:div>
                        <w:div w:id="1526947446">
                          <w:marLeft w:val="480"/>
                          <w:marRight w:val="0"/>
                          <w:marTop w:val="0"/>
                          <w:marBottom w:val="0"/>
                          <w:divBdr>
                            <w:top w:val="none" w:sz="0" w:space="0" w:color="auto"/>
                            <w:left w:val="none" w:sz="0" w:space="0" w:color="auto"/>
                            <w:bottom w:val="none" w:sz="0" w:space="0" w:color="auto"/>
                            <w:right w:val="none" w:sz="0" w:space="0" w:color="auto"/>
                          </w:divBdr>
                          <w:divsChild>
                            <w:div w:id="148480893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28319282">
                      <w:marLeft w:val="480"/>
                      <w:marRight w:val="0"/>
                      <w:marTop w:val="0"/>
                      <w:marBottom w:val="0"/>
                      <w:divBdr>
                        <w:top w:val="none" w:sz="0" w:space="0" w:color="auto"/>
                        <w:left w:val="none" w:sz="0" w:space="0" w:color="auto"/>
                        <w:bottom w:val="none" w:sz="0" w:space="0" w:color="auto"/>
                        <w:right w:val="none" w:sz="0" w:space="0" w:color="auto"/>
                      </w:divBdr>
                      <w:divsChild>
                        <w:div w:id="1821115736">
                          <w:marLeft w:val="480"/>
                          <w:marRight w:val="0"/>
                          <w:marTop w:val="0"/>
                          <w:marBottom w:val="0"/>
                          <w:divBdr>
                            <w:top w:val="none" w:sz="0" w:space="0" w:color="auto"/>
                            <w:left w:val="none" w:sz="0" w:space="0" w:color="auto"/>
                            <w:bottom w:val="none" w:sz="0" w:space="0" w:color="auto"/>
                            <w:right w:val="none" w:sz="0" w:space="0" w:color="auto"/>
                          </w:divBdr>
                        </w:div>
                        <w:div w:id="1076391728">
                          <w:marLeft w:val="480"/>
                          <w:marRight w:val="0"/>
                          <w:marTop w:val="0"/>
                          <w:marBottom w:val="0"/>
                          <w:divBdr>
                            <w:top w:val="none" w:sz="0" w:space="0" w:color="auto"/>
                            <w:left w:val="none" w:sz="0" w:space="0" w:color="auto"/>
                            <w:bottom w:val="none" w:sz="0" w:space="0" w:color="auto"/>
                            <w:right w:val="none" w:sz="0" w:space="0" w:color="auto"/>
                          </w:divBdr>
                          <w:divsChild>
                            <w:div w:id="201403000">
                              <w:marLeft w:val="480"/>
                              <w:marRight w:val="0"/>
                              <w:marTop w:val="0"/>
                              <w:marBottom w:val="0"/>
                              <w:divBdr>
                                <w:top w:val="none" w:sz="0" w:space="0" w:color="auto"/>
                                <w:left w:val="none" w:sz="0" w:space="0" w:color="auto"/>
                                <w:bottom w:val="none" w:sz="0" w:space="0" w:color="auto"/>
                                <w:right w:val="none" w:sz="0" w:space="0" w:color="auto"/>
                              </w:divBdr>
                              <w:divsChild>
                                <w:div w:id="200469451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9303">
                  <w:marLeft w:val="480"/>
                  <w:marRight w:val="0"/>
                  <w:marTop w:val="0"/>
                  <w:marBottom w:val="0"/>
                  <w:divBdr>
                    <w:top w:val="none" w:sz="0" w:space="0" w:color="auto"/>
                    <w:left w:val="none" w:sz="0" w:space="0" w:color="auto"/>
                    <w:bottom w:val="none" w:sz="0" w:space="0" w:color="auto"/>
                    <w:right w:val="none" w:sz="0" w:space="0" w:color="auto"/>
                  </w:divBdr>
                  <w:divsChild>
                    <w:div w:id="791484988">
                      <w:marLeft w:val="480"/>
                      <w:marRight w:val="0"/>
                      <w:marTop w:val="0"/>
                      <w:marBottom w:val="0"/>
                      <w:divBdr>
                        <w:top w:val="none" w:sz="0" w:space="0" w:color="auto"/>
                        <w:left w:val="none" w:sz="0" w:space="0" w:color="auto"/>
                        <w:bottom w:val="none" w:sz="0" w:space="0" w:color="auto"/>
                        <w:right w:val="none" w:sz="0" w:space="0" w:color="auto"/>
                      </w:divBdr>
                      <w:divsChild>
                        <w:div w:id="440994701">
                          <w:marLeft w:val="480"/>
                          <w:marRight w:val="0"/>
                          <w:marTop w:val="0"/>
                          <w:marBottom w:val="0"/>
                          <w:divBdr>
                            <w:top w:val="none" w:sz="0" w:space="0" w:color="auto"/>
                            <w:left w:val="none" w:sz="0" w:space="0" w:color="auto"/>
                            <w:bottom w:val="none" w:sz="0" w:space="0" w:color="auto"/>
                            <w:right w:val="none" w:sz="0" w:space="0" w:color="auto"/>
                          </w:divBdr>
                        </w:div>
                      </w:divsChild>
                    </w:div>
                    <w:div w:id="1279146064">
                      <w:marLeft w:val="480"/>
                      <w:marRight w:val="0"/>
                      <w:marTop w:val="0"/>
                      <w:marBottom w:val="0"/>
                      <w:divBdr>
                        <w:top w:val="none" w:sz="0" w:space="0" w:color="auto"/>
                        <w:left w:val="none" w:sz="0" w:space="0" w:color="auto"/>
                        <w:bottom w:val="none" w:sz="0" w:space="0" w:color="auto"/>
                        <w:right w:val="none" w:sz="0" w:space="0" w:color="auto"/>
                      </w:divBdr>
                      <w:divsChild>
                        <w:div w:id="19807271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335179">
                  <w:marLeft w:val="480"/>
                  <w:marRight w:val="0"/>
                  <w:marTop w:val="0"/>
                  <w:marBottom w:val="0"/>
                  <w:divBdr>
                    <w:top w:val="none" w:sz="0" w:space="0" w:color="auto"/>
                    <w:left w:val="none" w:sz="0" w:space="0" w:color="auto"/>
                    <w:bottom w:val="none" w:sz="0" w:space="0" w:color="auto"/>
                    <w:right w:val="none" w:sz="0" w:space="0" w:color="auto"/>
                  </w:divBdr>
                  <w:divsChild>
                    <w:div w:id="1139374899">
                      <w:marLeft w:val="480"/>
                      <w:marRight w:val="0"/>
                      <w:marTop w:val="0"/>
                      <w:marBottom w:val="0"/>
                      <w:divBdr>
                        <w:top w:val="none" w:sz="0" w:space="0" w:color="auto"/>
                        <w:left w:val="none" w:sz="0" w:space="0" w:color="auto"/>
                        <w:bottom w:val="none" w:sz="0" w:space="0" w:color="auto"/>
                        <w:right w:val="none" w:sz="0" w:space="0" w:color="auto"/>
                      </w:divBdr>
                      <w:divsChild>
                        <w:div w:id="1235093643">
                          <w:marLeft w:val="480"/>
                          <w:marRight w:val="0"/>
                          <w:marTop w:val="0"/>
                          <w:marBottom w:val="0"/>
                          <w:divBdr>
                            <w:top w:val="none" w:sz="0" w:space="0" w:color="auto"/>
                            <w:left w:val="none" w:sz="0" w:space="0" w:color="auto"/>
                            <w:bottom w:val="none" w:sz="0" w:space="0" w:color="auto"/>
                            <w:right w:val="none" w:sz="0" w:space="0" w:color="auto"/>
                          </w:divBdr>
                          <w:divsChild>
                            <w:div w:id="1946038280">
                              <w:marLeft w:val="480"/>
                              <w:marRight w:val="0"/>
                              <w:marTop w:val="0"/>
                              <w:marBottom w:val="0"/>
                              <w:divBdr>
                                <w:top w:val="none" w:sz="0" w:space="0" w:color="auto"/>
                                <w:left w:val="none" w:sz="0" w:space="0" w:color="auto"/>
                                <w:bottom w:val="none" w:sz="0" w:space="0" w:color="auto"/>
                                <w:right w:val="none" w:sz="0" w:space="0" w:color="auto"/>
                              </w:divBdr>
                              <w:divsChild>
                                <w:div w:id="16400671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55738640">
                          <w:marLeft w:val="480"/>
                          <w:marRight w:val="0"/>
                          <w:marTop w:val="0"/>
                          <w:marBottom w:val="0"/>
                          <w:divBdr>
                            <w:top w:val="none" w:sz="0" w:space="0" w:color="auto"/>
                            <w:left w:val="none" w:sz="0" w:space="0" w:color="auto"/>
                            <w:bottom w:val="none" w:sz="0" w:space="0" w:color="auto"/>
                            <w:right w:val="none" w:sz="0" w:space="0" w:color="auto"/>
                          </w:divBdr>
                        </w:div>
                      </w:divsChild>
                    </w:div>
                    <w:div w:id="1182745122">
                      <w:marLeft w:val="480"/>
                      <w:marRight w:val="0"/>
                      <w:marTop w:val="0"/>
                      <w:marBottom w:val="0"/>
                      <w:divBdr>
                        <w:top w:val="none" w:sz="0" w:space="0" w:color="auto"/>
                        <w:left w:val="none" w:sz="0" w:space="0" w:color="auto"/>
                        <w:bottom w:val="none" w:sz="0" w:space="0" w:color="auto"/>
                        <w:right w:val="none" w:sz="0" w:space="0" w:color="auto"/>
                      </w:divBdr>
                      <w:divsChild>
                        <w:div w:id="1364667664">
                          <w:marLeft w:val="480"/>
                          <w:marRight w:val="0"/>
                          <w:marTop w:val="0"/>
                          <w:marBottom w:val="0"/>
                          <w:divBdr>
                            <w:top w:val="none" w:sz="0" w:space="0" w:color="auto"/>
                            <w:left w:val="none" w:sz="0" w:space="0" w:color="auto"/>
                            <w:bottom w:val="none" w:sz="0" w:space="0" w:color="auto"/>
                            <w:right w:val="none" w:sz="0" w:space="0" w:color="auto"/>
                          </w:divBdr>
                          <w:divsChild>
                            <w:div w:id="192545778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50956834">
                      <w:marLeft w:val="480"/>
                      <w:marRight w:val="0"/>
                      <w:marTop w:val="0"/>
                      <w:marBottom w:val="0"/>
                      <w:divBdr>
                        <w:top w:val="none" w:sz="0" w:space="0" w:color="auto"/>
                        <w:left w:val="none" w:sz="0" w:space="0" w:color="auto"/>
                        <w:bottom w:val="none" w:sz="0" w:space="0" w:color="auto"/>
                        <w:right w:val="none" w:sz="0" w:space="0" w:color="auto"/>
                      </w:divBdr>
                      <w:divsChild>
                        <w:div w:id="10162327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5072923">
                  <w:marLeft w:val="480"/>
                  <w:marRight w:val="0"/>
                  <w:marTop w:val="0"/>
                  <w:marBottom w:val="0"/>
                  <w:divBdr>
                    <w:top w:val="none" w:sz="0" w:space="0" w:color="auto"/>
                    <w:left w:val="none" w:sz="0" w:space="0" w:color="auto"/>
                    <w:bottom w:val="none" w:sz="0" w:space="0" w:color="auto"/>
                    <w:right w:val="none" w:sz="0" w:space="0" w:color="auto"/>
                  </w:divBdr>
                  <w:divsChild>
                    <w:div w:id="8142789">
                      <w:marLeft w:val="480"/>
                      <w:marRight w:val="0"/>
                      <w:marTop w:val="0"/>
                      <w:marBottom w:val="0"/>
                      <w:divBdr>
                        <w:top w:val="none" w:sz="0" w:space="0" w:color="auto"/>
                        <w:left w:val="none" w:sz="0" w:space="0" w:color="auto"/>
                        <w:bottom w:val="none" w:sz="0" w:space="0" w:color="auto"/>
                        <w:right w:val="none" w:sz="0" w:space="0" w:color="auto"/>
                      </w:divBdr>
                      <w:divsChild>
                        <w:div w:id="1914049410">
                          <w:marLeft w:val="480"/>
                          <w:marRight w:val="0"/>
                          <w:marTop w:val="0"/>
                          <w:marBottom w:val="0"/>
                          <w:divBdr>
                            <w:top w:val="none" w:sz="0" w:space="0" w:color="auto"/>
                            <w:left w:val="none" w:sz="0" w:space="0" w:color="auto"/>
                            <w:bottom w:val="none" w:sz="0" w:space="0" w:color="auto"/>
                            <w:right w:val="none" w:sz="0" w:space="0" w:color="auto"/>
                          </w:divBdr>
                          <w:divsChild>
                            <w:div w:id="1744714529">
                              <w:marLeft w:val="480"/>
                              <w:marRight w:val="0"/>
                              <w:marTop w:val="0"/>
                              <w:marBottom w:val="0"/>
                              <w:divBdr>
                                <w:top w:val="none" w:sz="0" w:space="0" w:color="auto"/>
                                <w:left w:val="none" w:sz="0" w:space="0" w:color="auto"/>
                                <w:bottom w:val="none" w:sz="0" w:space="0" w:color="auto"/>
                                <w:right w:val="none" w:sz="0" w:space="0" w:color="auto"/>
                              </w:divBdr>
                              <w:divsChild>
                                <w:div w:id="128765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EEC21E-6357-4D9C-A708-AB063B86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Holtzman</dc:creator>
  <cp:keywords/>
  <dc:description/>
  <cp:lastModifiedBy>Administrator</cp:lastModifiedBy>
  <cp:revision>9</cp:revision>
  <cp:lastPrinted>2012-03-19T15:12:00Z</cp:lastPrinted>
  <dcterms:created xsi:type="dcterms:W3CDTF">2013-03-12T14:47:00Z</dcterms:created>
  <dcterms:modified xsi:type="dcterms:W3CDTF">2013-03-18T20:05:00Z</dcterms:modified>
</cp:coreProperties>
</file>