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商业在轨维护与服务（On-Orbit Servicing）</w:t>
      </w:r>
    </w:p>
    <w:p>
      <w:r>
        <w:t>研究报告</w:t>
      </w:r>
    </w:p>
    <w:p>
      <w:r>
        <w:t>报告日期：2026年05月20日</w:t>
      </w:r>
    </w:p>
    <w:p>
      <w:r>
        <w:t>研究机构：小燕子研究院</w:t>
      </w:r>
    </w:p>
    <w:p/>
    <w:p>
      <w:pPr>
        <w:pStyle w:val="Heading1"/>
      </w:pPr>
      <w:r>
        <w:t>一、行业概述</w:t>
      </w:r>
    </w:p>
    <w:p>
      <w:pPr>
        <w:pStyle w:val="Heading2"/>
      </w:pPr>
      <w:r>
        <w:t>1.1 行业定义</w:t>
      </w:r>
    </w:p>
    <w:p>
      <w:r>
        <w:t>在轨维护与服务（On-Orbit Servicing, OOS）是指在太空中对卫星、空间站等航天器进行的维修、延寿、加油、碎片清除、轨道调整等一系列商业化服务活动。这一新兴行业正在从根本上改变太空经济的商业逻辑——从"一次性使用"转向"持续运维"。</w:t>
      </w:r>
    </w:p>
    <w:p>
      <w:pPr>
        <w:pStyle w:val="Heading2"/>
      </w:pPr>
      <w:r>
        <w:t>1.2 行业发展背景</w:t>
      </w:r>
    </w:p>
    <w:p>
      <w:r>
        <w:rPr>
          <w:b/>
        </w:rPr>
        <w:t>四大驱动力：</w:t>
      </w:r>
    </w:p>
    <w:p>
      <w:pPr>
        <w:pStyle w:val="ListBullet"/>
      </w:pPr>
      <w:r>
        <w:t>① 卫星寿命限制：地球静止轨道（GEO）卫星燃料耗尽是主要失效模式，在轨加油可延长卫星寿命5-15年</w:t>
      </w:r>
    </w:p>
    <w:p>
      <w:pPr>
        <w:pStyle w:val="ListBullet"/>
      </w:pPr>
      <w:r>
        <w:t>② 空间碎片威胁：目前约有9,000吨太空碎片，在轨服务是唯一主动清除手段</w:t>
      </w:r>
    </w:p>
    <w:p>
      <w:pPr>
        <w:pStyle w:val="ListBullet"/>
      </w:pPr>
      <w:r>
        <w:t>③ 军用价值：美国太空军视"动态太空操作"为核心能力，可在战时机动卫星规避威胁或接近对手卫星</w:t>
      </w:r>
    </w:p>
    <w:p>
      <w:pPr>
        <w:pStyle w:val="ListBullet"/>
      </w:pPr>
      <w:r>
        <w:t>④ 成本压力：GEO卫星造价动辄5-10亿美元，延寿服务性价比极高</w:t>
      </w:r>
    </w:p>
    <w:p>
      <w:pPr>
        <w:pStyle w:val="Heading2"/>
      </w:pPr>
      <w:r>
        <w:t>1.3 市场规模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2025年全球市场规模</w:t>
            </w:r>
          </w:p>
        </w:tc>
        <w:tc>
          <w:tcPr>
            <w:tcW w:type="dxa" w:w="2880"/>
          </w:tcPr>
          <w:p>
            <w:r>
              <w:t>约46.7亿美元</w:t>
            </w:r>
          </w:p>
        </w:tc>
        <w:tc>
          <w:tcPr>
            <w:tcW w:type="dxa" w:w="2880"/>
          </w:tcPr>
          <w:p>
            <w:r>
              <w:t>Precedence Research</w:t>
            </w:r>
          </w:p>
        </w:tc>
      </w:tr>
      <w:tr>
        <w:tc>
          <w:tcPr>
            <w:tcW w:type="dxa" w:w="2880"/>
          </w:tcPr>
          <w:p>
            <w:r>
              <w:t>2026年预测</w:t>
            </w:r>
          </w:p>
        </w:tc>
        <w:tc>
          <w:tcPr>
            <w:tcW w:type="dxa" w:w="2880"/>
          </w:tcPr>
          <w:p>
            <w:r>
              <w:t>约51.6亿美元</w:t>
            </w:r>
          </w:p>
        </w:tc>
        <w:tc>
          <w:tcPr>
            <w:tcW w:type="dxa" w:w="2880"/>
          </w:tcPr>
          <w:p>
            <w:r>
              <w:t>Precedence Research</w:t>
            </w:r>
          </w:p>
        </w:tc>
      </w:tr>
      <w:tr>
        <w:tc>
          <w:tcPr>
            <w:tcW w:type="dxa" w:w="2880"/>
          </w:tcPr>
          <w:p>
            <w:r>
              <w:t>2035年预测</w:t>
            </w:r>
          </w:p>
        </w:tc>
        <w:tc>
          <w:tcPr>
            <w:tcW w:type="dxa" w:w="2880"/>
          </w:tcPr>
          <w:p>
            <w:r>
              <w:t>约126亿美元</w:t>
            </w:r>
          </w:p>
        </w:tc>
        <w:tc>
          <w:tcPr>
            <w:tcW w:type="dxa" w:w="2880"/>
          </w:tcPr>
          <w:p>
            <w:r>
              <w:t>Precedence Research（10.43% CAGR）</w:t>
            </w:r>
          </w:p>
        </w:tc>
      </w:tr>
      <w:tr>
        <w:tc>
          <w:tcPr>
            <w:tcW w:type="dxa" w:w="2880"/>
          </w:tcPr>
          <w:p>
            <w:r>
              <w:t>2030年预测</w:t>
            </w:r>
          </w:p>
        </w:tc>
        <w:tc>
          <w:tcPr>
            <w:tcW w:type="dxa" w:w="2880"/>
          </w:tcPr>
          <w:p>
            <w:r>
              <w:t>约61.4亿美元</w:t>
            </w:r>
          </w:p>
        </w:tc>
        <w:tc>
          <w:tcPr>
            <w:tcW w:type="dxa" w:w="2880"/>
          </w:tcPr>
          <w:p>
            <w:r>
              <w:t>Spherical Insights（10.7% CAGR）</w:t>
            </w:r>
          </w:p>
        </w:tc>
      </w:tr>
    </w:tbl>
    <w:p/>
    <w:p>
      <w:r>
        <w:t>北美市场占全球份额约37%（2025年），欧洲市场预计2030年超50亿美元（年增速约11.5%）。</w:t>
      </w:r>
    </w:p>
    <w:p>
      <w:pPr>
        <w:pStyle w:val="Heading1"/>
      </w:pPr>
      <w:r>
        <w:t>二、国际主要公司分析</w:t>
      </w:r>
    </w:p>
    <w:p>
      <w:pPr>
        <w:pStyle w:val="Heading2"/>
      </w:pPr>
      <w:r>
        <w:t>2.1 诺斯罗普·格鲁曼（Northrop Grumman）</w:t>
      </w:r>
    </w:p>
    <w:p>
      <w:r>
        <w:t>基本情况：美国防务巨头，在轨服务领域先驱企业</w:t>
      </w:r>
    </w:p>
    <w:p>
      <w:pPr>
        <w:pStyle w:val="ListBullet"/>
      </w:pPr>
      <w:r>
        <w:t>核心业务：卫星延寿、轨道转移、军事卫星维修</w:t>
      </w:r>
    </w:p>
    <w:p>
      <w:pPr>
        <w:pStyle w:val="ListBullet"/>
      </w:pPr>
      <w:r>
        <w:t>代表项目：</w:t>
      </w:r>
    </w:p>
    <w:p>
      <w:pPr>
        <w:pStyle w:val="ListBullet"/>
      </w:pPr>
      <w:r>
        <w:t xml:space="preserve">  • MEV-1（任务扩展飞行器1号）：2019年发射，为Intelsat 901卫星提供延寿服务，在轨运行至今</w:t>
      </w:r>
    </w:p>
    <w:p>
      <w:pPr>
        <w:pStyle w:val="ListBullet"/>
      </w:pPr>
      <w:r>
        <w:t xml:space="preserve">  • MEV-2：2021年发射，为Intelsat 1002提供延寿服务</w:t>
      </w:r>
    </w:p>
    <w:p>
      <w:pPr>
        <w:pStyle w:val="ListBullet"/>
      </w:pPr>
      <w:r>
        <w:t xml:space="preserve">  • Mission Extension Pod（MEP）：与Astroscale合作开发的小型推进飞行器</w:t>
      </w:r>
    </w:p>
    <w:p>
      <w:pPr>
        <w:pStyle w:val="ListBullet"/>
      </w:pPr>
      <w:r>
        <w:t>优势：深厚军方关系、成熟的空间系统集成能力</w:t>
      </w:r>
    </w:p>
    <w:p>
      <w:pPr>
        <w:pStyle w:val="ListBullet"/>
      </w:pPr>
      <w:r>
        <w:t>劣势：商业模式以政府项目为主，商业化程度有限</w:t>
      </w:r>
    </w:p>
    <w:p>
      <w:pPr>
        <w:pStyle w:val="Heading2"/>
      </w:pPr>
      <w:r>
        <w:t>2.2 Maxar Technologies（美国）</w:t>
      </w:r>
    </w:p>
    <w:p>
      <w:r>
        <w:t>基本情况：全球领先的空间技术公司，旗下拥有DigitalGlobe等卫星影像业务</w:t>
      </w:r>
    </w:p>
    <w:p>
      <w:pPr>
        <w:pStyle w:val="ListBullet"/>
      </w:pPr>
      <w:r>
        <w:t>核心业务：卫星影像、太空机器人、在轨服务</w:t>
      </w:r>
    </w:p>
    <w:p>
      <w:pPr>
        <w:pStyle w:val="ListBullet"/>
      </w:pPr>
      <w:r>
        <w:t>代表项目：Space Infrastructure Dexterous Robot（SPIDER）：太空基础设施灵巧机器人，可执行卫星维修与在轨装配</w:t>
      </w:r>
    </w:p>
    <w:p>
      <w:pPr>
        <w:pStyle w:val="ListBullet"/>
      </w:pPr>
      <w:r>
        <w:t>优势：卫星影像数据支撑、空间机器人技术积累</w:t>
      </w:r>
    </w:p>
    <w:p>
      <w:pPr>
        <w:pStyle w:val="Heading2"/>
      </w:pPr>
      <w:r>
        <w:t>2.3 Astroscale Holdings（日本）</w:t>
      </w:r>
    </w:p>
    <w:p>
      <w:r>
        <w:t>基本情况：全球首家商业在轨服务上市公司，总部东京，2021年登陆东京证券交易所</w:t>
      </w:r>
    </w:p>
    <w:p>
      <w:pPr>
        <w:pStyle w:val="ListBullet"/>
      </w:pPr>
      <w:r>
        <w:t>核心业务：主动碎片清除（ADR）、卫星延寿、在轨检查</w:t>
      </w:r>
    </w:p>
    <w:p>
      <w:pPr>
        <w:pStyle w:val="ListBullet"/>
      </w:pPr>
      <w:r>
        <w:t>代表项目：</w:t>
      </w:r>
    </w:p>
    <w:p>
      <w:pPr>
        <w:pStyle w:val="ListBullet"/>
      </w:pPr>
      <w:r>
        <w:t xml:space="preserve">  • ADRAS-J：全球首次商业化主动碎片清除演示（2024年）</w:t>
      </w:r>
    </w:p>
    <w:p>
      <w:pPr>
        <w:pStyle w:val="ListBullet"/>
      </w:pPr>
      <w:r>
        <w:t xml:space="preserve">  • CLASP：与欧洲航天局（ESA）合作项目</w:t>
      </w:r>
    </w:p>
    <w:p>
      <w:pPr>
        <w:pStyle w:val="ListBullet"/>
      </w:pPr>
      <w:r>
        <w:t xml:space="preserve">  • ELSA-d：在轨碎片清除演示（2021年）</w:t>
      </w:r>
    </w:p>
    <w:p>
      <w:pPr>
        <w:pStyle w:val="ListBullet"/>
      </w:pPr>
      <w:r>
        <w:t>优势：上市公司、全球唯一已验证商业ADR技术、日本政府背书</w:t>
      </w:r>
    </w:p>
    <w:p>
      <w:pPr>
        <w:pStyle w:val="ListBullet"/>
      </w:pPr>
      <w:r>
        <w:t>劣势：技术仍处于早期商业化阶段，盈利能力待验证</w:t>
      </w:r>
    </w:p>
    <w:p>
      <w:pPr>
        <w:pStyle w:val="Heading2"/>
      </w:pPr>
      <w:r>
        <w:t>2.4 SpaceX（美国）</w:t>
      </w:r>
    </w:p>
    <w:p>
      <w:r>
        <w:t>基本情况：全球最大私营航天企业，估值约3,500亿美元</w:t>
      </w:r>
    </w:p>
    <w:p>
      <w:pPr>
        <w:pStyle w:val="ListBullet"/>
      </w:pPr>
      <w:r>
        <w:t>核心业务：火箭发射、星链卫星、在轨服务技术储备</w:t>
      </w:r>
    </w:p>
    <w:p>
      <w:pPr>
        <w:pStyle w:val="ListBullet"/>
      </w:pPr>
      <w:r>
        <w:t>代表能力：</w:t>
      </w:r>
    </w:p>
    <w:p>
      <w:pPr>
        <w:pStyle w:val="ListBullet"/>
      </w:pPr>
      <w:r>
        <w:t xml:space="preserve">  • Starship设计可用于大型在轨任务</w:t>
      </w:r>
    </w:p>
    <w:p>
      <w:pPr>
        <w:pStyle w:val="ListBullet"/>
      </w:pPr>
      <w:r>
        <w:t xml:space="preserve">  • 星舰在轨加油技术（2026年计划验证）</w:t>
      </w:r>
    </w:p>
    <w:p>
      <w:pPr>
        <w:pStyle w:val="ListBullet"/>
      </w:pPr>
      <w:r>
        <w:t xml:space="preserve">  • Dragon飞船具备对接能力，理论可扩展至在轨维修</w:t>
      </w:r>
    </w:p>
    <w:p>
      <w:pPr>
        <w:pStyle w:val="ListBullet"/>
      </w:pPr>
      <w:r>
        <w:t>优势：运载能力独步全球、成本控制能力强</w:t>
      </w:r>
    </w:p>
    <w:p>
      <w:pPr>
        <w:pStyle w:val="ListBullet"/>
      </w:pPr>
      <w:r>
        <w:t>劣势：战略重心在星链和深空探测，在轨服务非核心业务</w:t>
      </w:r>
    </w:p>
    <w:p>
      <w:pPr>
        <w:pStyle w:val="Heading2"/>
      </w:pPr>
      <w:r>
        <w:t>2.5 SpaceNEO（欧洲）</w:t>
      </w:r>
    </w:p>
    <w:p>
      <w:r>
        <w:t>基本情况：法国初创企业，专注GEO卫星延寿服务，由欧洲航天局支持</w:t>
      </w:r>
    </w:p>
    <w:p>
      <w:pPr>
        <w:pStyle w:val="ListBullet"/>
      </w:pPr>
      <w:r>
        <w:t>核心业务：GEO卫星延寿飞行器</w:t>
      </w:r>
    </w:p>
    <w:p>
      <w:pPr>
        <w:pStyle w:val="ListBullet"/>
      </w:pPr>
      <w:r>
        <w:t>目标：2028年前具备商业服务能力</w:t>
      </w:r>
    </w:p>
    <w:p>
      <w:pPr>
        <w:pStyle w:val="Heading2"/>
      </w:pPr>
      <w:r>
        <w:t>2.6 印度（国际合作视角）</w:t>
      </w:r>
    </w:p>
    <w:p>
      <w:pPr>
        <w:pStyle w:val="ListBullet"/>
      </w:pPr>
      <w:r>
        <w:t>印度空间研究组织（ISRO）积极布局在轨服务：</w:t>
      </w:r>
    </w:p>
    <w:p>
      <w:pPr>
        <w:pStyle w:val="ListBullet"/>
      </w:pPr>
      <w:r>
        <w:t xml:space="preserve">  • 2022年完成"太空对接"实验（Spadex）</w:t>
      </w:r>
    </w:p>
    <w:p>
      <w:pPr>
        <w:pStyle w:val="ListBullet"/>
      </w:pPr>
      <w:r>
        <w:t xml:space="preserve">  • 规划2030年前具备卫星延寿能力</w:t>
      </w:r>
    </w:p>
    <w:p>
      <w:pPr>
        <w:pStyle w:val="ListBullet"/>
      </w:pPr>
      <w:r>
        <w:t>印度凭借成本优势可能成为未来重要竞争者</w:t>
      </w:r>
    </w:p>
    <w:p>
      <w:pPr>
        <w:pStyle w:val="Heading1"/>
      </w:pPr>
      <w:r>
        <w:t>三、国内主要公司分析</w:t>
      </w:r>
    </w:p>
    <w:p>
      <w:pPr>
        <w:pStyle w:val="Heading2"/>
      </w:pPr>
      <w:r>
        <w:t>3.1 中国航天科技集团（CASC）</w:t>
      </w:r>
    </w:p>
    <w:p>
      <w:r>
        <w:t>基本情况：中国航天工业旗舰，全球最大航天企业之一</w:t>
      </w:r>
    </w:p>
    <w:p>
      <w:pPr>
        <w:pStyle w:val="ListBullet"/>
      </w:pPr>
      <w:r>
        <w:t>核心业务：运载火箭、卫星、空间站、在轨服务技术研发</w:t>
      </w:r>
    </w:p>
    <w:p>
      <w:pPr>
        <w:pStyle w:val="ListBullet"/>
      </w:pPr>
      <w:r>
        <w:t>重大进展：</w:t>
      </w:r>
    </w:p>
    <w:p>
      <w:pPr>
        <w:pStyle w:val="ListBullet"/>
      </w:pPr>
      <w:r>
        <w:t xml:space="preserve">  • 2024年6月：实践-19号卫星成功进行世界首次GEO在轨加油演示</w:t>
      </w:r>
    </w:p>
    <w:p>
      <w:pPr>
        <w:pStyle w:val="ListBullet"/>
      </w:pPr>
      <w:r>
        <w:t xml:space="preserve">  • 实践-21号：实验性GEO碎片减缓技术</w:t>
      </w:r>
    </w:p>
    <w:p>
      <w:pPr>
        <w:pStyle w:val="ListBullet"/>
      </w:pPr>
      <w:r>
        <w:t xml:space="preserve">  • 多家研究所从事机械臂、太空机器人研发</w:t>
      </w:r>
    </w:p>
    <w:p>
      <w:pPr>
        <w:pStyle w:val="ListBullet"/>
      </w:pPr>
      <w:r>
        <w:t>特点：国家战略驱动，技术积累深厚，但商业化程度较低</w:t>
      </w:r>
    </w:p>
    <w:p>
      <w:pPr>
        <w:pStyle w:val="Heading2"/>
      </w:pPr>
      <w:r>
        <w:t>3.2 银河航天</w:t>
      </w:r>
    </w:p>
    <w:p>
      <w:r>
        <w:t>基本情况：中国商业航天领军企业，专注低轨宽带互联网卫星</w:t>
      </w:r>
    </w:p>
    <w:p>
      <w:pPr>
        <w:pStyle w:val="ListBullet"/>
      </w:pPr>
      <w:r>
        <w:t>核心业务：银河Galaxy卫星星座建设、卫星平台技术</w:t>
      </w:r>
    </w:p>
    <w:p>
      <w:pPr>
        <w:pStyle w:val="ListBullet"/>
      </w:pPr>
      <w:r>
        <w:t>在轨服务布局：</w:t>
      </w:r>
    </w:p>
    <w:p>
      <w:pPr>
        <w:pStyle w:val="ListBullet"/>
      </w:pPr>
      <w:r>
        <w:t xml:space="preserve">  • 规划卫星延寿服务能力</w:t>
      </w:r>
    </w:p>
    <w:p>
      <w:pPr>
        <w:pStyle w:val="ListBullet"/>
      </w:pPr>
      <w:r>
        <w:t xml:space="preserve">  • 低轨星座维护需求催生在轨服务市场</w:t>
      </w:r>
    </w:p>
    <w:p>
      <w:pPr>
        <w:pStyle w:val="Heading2"/>
      </w:pPr>
      <w:r>
        <w:t>3.3 长光卫星技术股份有限公司</w:t>
      </w:r>
    </w:p>
    <w:p>
      <w:r>
        <w:t>基本情况：科创板上市，商业遥感卫星企业龙头</w:t>
      </w:r>
    </w:p>
    <w:p>
      <w:pPr>
        <w:pStyle w:val="ListBullet"/>
      </w:pPr>
      <w:r>
        <w:t>核心业务：遥感卫星研制与运营、"吉林一号"星座</w:t>
      </w:r>
    </w:p>
    <w:p>
      <w:pPr>
        <w:pStyle w:val="ListBullet"/>
      </w:pPr>
      <w:r>
        <w:t>在轨服务潜力：遥感卫星寿命延长服务需求广阔</w:t>
      </w:r>
    </w:p>
    <w:p>
      <w:pPr>
        <w:pStyle w:val="Heading2"/>
      </w:pPr>
      <w:r>
        <w:t>3.4 蓝箭航天空间科技</w:t>
      </w:r>
    </w:p>
    <w:p>
      <w:r>
        <w:t>基本情况：商业运载火箭企业，研朱雀二号可复用火箭</w:t>
      </w:r>
    </w:p>
    <w:p>
      <w:pPr>
        <w:pStyle w:val="ListBullet"/>
      </w:pPr>
      <w:r>
        <w:t>在轨服务布局：规划火箭子级在轨回收复用</w:t>
      </w:r>
    </w:p>
    <w:p>
      <w:pPr>
        <w:pStyle w:val="Heading2"/>
      </w:pPr>
      <w:r>
        <w:t>3.5 国内行业整体评估</w:t>
      </w:r>
    </w:p>
    <w:p>
      <w:r>
        <w:rPr>
          <w:b/>
        </w:rPr>
        <w:t>优势：</w:t>
      </w:r>
    </w:p>
    <w:p>
      <w:pPr>
        <w:pStyle w:val="ListBullet"/>
      </w:pPr>
      <w:r>
        <w:t>① 2024年GEO在轨加油技术世界领先</w:t>
      </w:r>
    </w:p>
    <w:p>
      <w:pPr>
        <w:pStyle w:val="ListBullet"/>
      </w:pPr>
      <w:r>
        <w:t>② 国家战略高度重视，政策支持明确</w:t>
      </w:r>
    </w:p>
    <w:p>
      <w:pPr>
        <w:pStyle w:val="ListBullet"/>
      </w:pPr>
      <w:r>
        <w:t>③ 完整的航天工业体系支撑</w:t>
      </w:r>
    </w:p>
    <w:p>
      <w:r>
        <w:rPr>
          <w:b/>
        </w:rPr>
        <w:t>劣势：</w:t>
      </w:r>
    </w:p>
    <w:p>
      <w:pPr>
        <w:pStyle w:val="ListBullet"/>
      </w:pPr>
      <w:r>
        <w:t>① 商业化程度低，主要依赖国家任务</w:t>
      </w:r>
    </w:p>
    <w:p>
      <w:pPr>
        <w:pStyle w:val="ListBullet"/>
      </w:pPr>
      <w:r>
        <w:t>② 上市公司少，投资标的稀缺</w:t>
      </w:r>
    </w:p>
    <w:p>
      <w:pPr>
        <w:pStyle w:val="ListBullet"/>
      </w:pPr>
      <w:r>
        <w:t>③ 核心技术仍与美国有差距</w:t>
      </w:r>
    </w:p>
    <w:p>
      <w:pPr>
        <w:pStyle w:val="Heading1"/>
      </w:pPr>
      <w:r>
        <w:t>四、关键技术分类</w:t>
      </w:r>
    </w:p>
    <w:p>
      <w:pPr>
        <w:pStyle w:val="Heading2"/>
      </w:pPr>
      <w:r>
        <w:t>4.1 卫星延寿与服务</w:t>
      </w:r>
    </w:p>
    <w:p>
      <w:r>
        <w:t>定义：为燃料耗尽的卫星提供推进剂补给或轨道维持服务</w:t>
      </w:r>
    </w:p>
    <w:p>
      <w:pPr>
        <w:pStyle w:val="ListBullet"/>
      </w:pPr>
      <w:r>
        <w:t>代表公司：诺斯罗普·格鲁曼（MEV系列）、SpaceNEO</w:t>
      </w:r>
    </w:p>
    <w:p>
      <w:pPr>
        <w:pStyle w:val="ListBullet"/>
      </w:pPr>
      <w:r>
        <w:t>技术难点：远距离逼近、GEO高轨转移、对接稳定性</w:t>
      </w:r>
    </w:p>
    <w:p>
      <w:pPr>
        <w:pStyle w:val="Heading2"/>
      </w:pPr>
      <w:r>
        <w:t>4.2 轨道转移与在轨加油</w:t>
      </w:r>
    </w:p>
    <w:p>
      <w:r>
        <w:t>定义：将飞行器从一个轨道转移到另一个，并进行流体（推进剂）转移</w:t>
      </w:r>
    </w:p>
    <w:p>
      <w:pPr>
        <w:pStyle w:val="ListBullet"/>
      </w:pPr>
      <w:r>
        <w:t>代表项目：NASA太空机器人项目（Space Robotics），中国实践-19号</w:t>
      </w:r>
    </w:p>
    <w:p>
      <w:pPr>
        <w:pStyle w:val="ListBullet"/>
      </w:pPr>
      <w:r>
        <w:t>技术难点：轨道力学计算、低温推进剂管理、对接密封</w:t>
      </w:r>
    </w:p>
    <w:p>
      <w:pPr>
        <w:pStyle w:val="Heading2"/>
      </w:pPr>
      <w:r>
        <w:t>4.3 主动碎片清除（ADR）</w:t>
      </w:r>
    </w:p>
    <w:p>
      <w:r>
        <w:t>定义：主动捕获并清除失效卫星、火箭残骸等空间碎片</w:t>
      </w:r>
    </w:p>
    <w:p>
      <w:pPr>
        <w:pStyle w:val="ListBullet"/>
      </w:pPr>
      <w:r>
        <w:t>代表公司：Astroscale（全球领先）、Tethers Unlimited</w:t>
      </w:r>
    </w:p>
    <w:p>
      <w:pPr>
        <w:pStyle w:val="ListBullet"/>
      </w:pPr>
      <w:r>
        <w:t>技术难点：非合作目标捕获、碎片追踪、规避碰撞</w:t>
      </w:r>
    </w:p>
    <w:p>
      <w:pPr>
        <w:pStyle w:val="Heading2"/>
      </w:pPr>
      <w:r>
        <w:t>4.4 在轨装配与制造</w:t>
      </w:r>
    </w:p>
    <w:p>
      <w:r>
        <w:t>定义：在太空中直接组装大型结构或制造复杂部件</w:t>
      </w:r>
    </w:p>
    <w:p>
      <w:pPr>
        <w:pStyle w:val="ListBullet"/>
      </w:pPr>
      <w:r>
        <w:t>代表项目：DARPA的RSGS项目（机器人卫星加油与服务）、Maxar的SPIDER</w:t>
      </w:r>
    </w:p>
    <w:p>
      <w:pPr>
        <w:pStyle w:val="ListBullet"/>
      </w:pPr>
      <w:r>
        <w:t>未来愿景：建设"月球门户"等大型深空基础设施</w:t>
      </w:r>
    </w:p>
    <w:p>
      <w:pPr>
        <w:pStyle w:val="Heading2"/>
      </w:pPr>
      <w:r>
        <w:t>4.5 机械臂与太空机器人</w:t>
      </w:r>
    </w:p>
    <w:p>
      <w:r>
        <w:t>定义：在轨操作的核心使能技术，负责捕获、检查、维修等任务</w:t>
      </w:r>
    </w:p>
    <w:p>
      <w:pPr>
        <w:pStyle w:val="ListBullet"/>
      </w:pPr>
      <w:r>
        <w:t>代表公司：Maxar、Tethers Unlimited、NASA</w:t>
      </w:r>
    </w:p>
    <w:p>
      <w:pPr>
        <w:pStyle w:val="ListBullet"/>
      </w:pPr>
      <w:r>
        <w:t>技术趋势：AI驱动的自主操作、触觉反馈远程操控</w:t>
      </w:r>
    </w:p>
    <w:p>
      <w:pPr>
        <w:pStyle w:val="Heading1"/>
      </w:pPr>
      <w:r>
        <w:t>五、市场前景与投资机会</w:t>
      </w:r>
    </w:p>
    <w:p>
      <w:pPr>
        <w:pStyle w:val="Heading2"/>
      </w:pPr>
      <w:r>
        <w:t>5.1 市场驱动因素</w:t>
      </w:r>
    </w:p>
    <w:p>
      <w:pPr>
        <w:pStyle w:val="ListBullet"/>
      </w:pPr>
      <w:r>
        <w:t>① GEO卫星换新成本高：单星5-10亿美元，延寿仅需数千万美元</w:t>
      </w:r>
    </w:p>
    <w:p>
      <w:pPr>
        <w:pStyle w:val="ListBullet"/>
      </w:pPr>
      <w:r>
        <w:t>② 太空军备竞赛：中美俄在轨对抗能力建设催生大量需求</w:t>
      </w:r>
    </w:p>
    <w:p>
      <w:pPr>
        <w:pStyle w:val="ListBullet"/>
      </w:pPr>
      <w:r>
        <w:t>③ ESG投资热潮：空间碎片清理符合可持续发展理念</w:t>
      </w:r>
    </w:p>
    <w:p>
      <w:pPr>
        <w:pStyle w:val="ListBullet"/>
      </w:pPr>
      <w:r>
        <w:t>④ 卫星星座爆发：星链、一网等万颗级星座急需运维手段</w:t>
      </w:r>
    </w:p>
    <w:p>
      <w:pPr>
        <w:pStyle w:val="Heading2"/>
      </w:pPr>
      <w:r>
        <w:t>5.2 投资机会</w:t>
      </w:r>
    </w:p>
    <w:p>
      <w:r>
        <w:rPr>
          <w:b/>
        </w:rPr>
        <w:t>一级市场：</w:t>
      </w:r>
    </w:p>
    <w:p>
      <w:pPr>
        <w:pStyle w:val="ListBullet"/>
      </w:pPr>
      <w:r>
        <w:t>• Astroscale（东京证交所上市，代码186A）：全球唯一纯正OOS标的</w:t>
      </w:r>
    </w:p>
    <w:p>
      <w:pPr>
        <w:pStyle w:val="ListBullet"/>
      </w:pPr>
      <w:r>
        <w:t>• SpaceNEO（法国）：欧洲OOS龙头，IPO筹备中</w:t>
      </w:r>
    </w:p>
    <w:p>
      <w:pPr>
        <w:pStyle w:val="ListBullet"/>
      </w:pPr>
      <w:r>
        <w:t>• 各防务巨头的太空服务部门（诺格、洛马、雷神）</w:t>
      </w:r>
    </w:p>
    <w:p>
      <w:r>
        <w:rPr>
          <w:b/>
        </w:rPr>
        <w:t>二级市场：</w:t>
      </w:r>
    </w:p>
    <w:p>
      <w:pPr>
        <w:pStyle w:val="ListBullet"/>
      </w:pPr>
      <w:r>
        <w:t>• 诺斯罗普·格鲁曼（NYSE：NOC）：MEV项目稳定运营</w:t>
      </w:r>
    </w:p>
    <w:p>
      <w:pPr>
        <w:pStyle w:val="ListBullet"/>
      </w:pPr>
      <w:r>
        <w:t>• Maxar（NYSE：MAXR）：技术储备丰富但财务压力大</w:t>
      </w:r>
    </w:p>
    <w:p>
      <w:pPr>
        <w:pStyle w:val="ListBullet"/>
      </w:pPr>
      <w:r>
        <w:t>• SpaceX（私营）：估值已高但成长空间仍大</w:t>
      </w:r>
    </w:p>
    <w:p>
      <w:pPr>
        <w:pStyle w:val="ListBullet"/>
      </w:pPr>
      <w:r>
        <w:t>• A股：中国卫星网络集团（筹备中）、航天科技集团旗下上市公司</w:t>
      </w:r>
    </w:p>
    <w:p>
      <w:pPr>
        <w:pStyle w:val="Heading2"/>
      </w:pPr>
      <w:r>
        <w:t>5.3 风险因素</w:t>
      </w:r>
    </w:p>
    <w:p>
      <w:pPr>
        <w:pStyle w:val="ListBullet"/>
      </w:pPr>
      <w:r>
        <w:t>① 技术风险：太空环境恶劣，任务失败率仍较高</w:t>
      </w:r>
    </w:p>
    <w:p>
      <w:pPr>
        <w:pStyle w:val="ListBullet"/>
      </w:pPr>
      <w:r>
        <w:t>② 地缘政治：军事应用敏感性可能导致出口管制</w:t>
      </w:r>
    </w:p>
    <w:p>
      <w:pPr>
        <w:pStyle w:val="ListBullet"/>
      </w:pPr>
      <w:r>
        <w:t>③ 商业模式待验证：大多数OOS公司尚未实现盈利</w:t>
      </w:r>
    </w:p>
    <w:p>
      <w:pPr>
        <w:pStyle w:val="ListBullet"/>
      </w:pPr>
      <w:r>
        <w:t>④ 标准化缺失：不同卫星接口不统一，制约商业服务规模化</w:t>
      </w:r>
    </w:p>
    <w:p>
      <w:pPr>
        <w:pStyle w:val="Heading1"/>
      </w:pPr>
      <w:r>
        <w:t>六、结论</w:t>
      </w:r>
    </w:p>
    <w:p>
      <w:r>
        <w:t>商业在轨维护与服务是太空经济从"一次性"向"可持续"转型的关键基础设施。全球市场将从2025年的47亿美元增长至2035年的126亿美元，年复合增长率约10%。</w:t>
      </w:r>
    </w:p>
    <w:p>
      <w:r>
        <w:t>国际层面，美国企业（诺格、Maxar）和日本企业（Astroscale）处于领先地位，2026年将是关键验证节点——美国太空军将实施4个重要任务演示。中国在GEO在轨加油技术已获世界领先成就，但商业化程度仍低。</w:t>
      </w:r>
    </w:p>
    <w:p>
      <w:r>
        <w:t>对于投资者而言，Astroscale是全球唯一的纯正OOS上市标的；诺格是大型防务企业中最直接的受益者；国内投资则需等待中国商业航天进一步开放。</w:t>
      </w:r>
    </w:p>
    <w:p>
      <w:r>
        <w:t>长期看，随着太空竞争加剧、卫星星座规模化运营，在轨服务将从"锦上添花"变为"不可或缺"，是值得战略性布局的赛道。</w:t>
      </w:r>
    </w:p>
    <w:p/>
    <w:p>
      <w:r>
        <w:rPr>
          <w:b/>
        </w:rPr>
        <w:t>免责声明：</w:t>
      </w:r>
      <w:r>
        <w:t>本报告仅供参考，不构成投资建议。投资有风险，决策需谨慎。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