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Table 1</w:t>
      </w:r>
    </w:p>
    <w:p>
      <w:r>
        <w:rPr>
          <w:i/>
        </w:rPr>
        <w:t>Patient characteristics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8" w:color="000000"/>
              <w:bottom w:val="single" w:sz="8" w:color="000000"/>
            </w:tcBorders>
          </w:tcPr>
          <w:p>
            <w:pPr>
              <w:jc w:val="left"/>
            </w:pPr>
            <w:r/>
            <w:r>
              <w:rPr>
                <w:b/>
                <w:i w:val="0"/>
              </w:rPr>
              <w:t>Variable</w:t>
            </w:r>
          </w:p>
        </w:tc>
        <w:tc>
          <w:tcPr>
            <w:tcW w:type="dxa" w:w="2880"/>
            <w:tcBorders>
              <w:top w:val="single" w:sz="8" w:color="000000"/>
              <w:bottom w:val="single" w:sz="8" w:color="000000"/>
            </w:tcBorders>
          </w:tcPr>
          <w:p>
            <w:pPr>
              <w:jc w:val="right"/>
            </w:pPr>
            <w:r/>
            <w:r>
              <w:rPr>
                <w:b/>
                <w:i w:val="0"/>
              </w:rPr>
              <w:t>M (SD) / n (%)</w:t>
            </w:r>
          </w:p>
        </w:tc>
        <w:tc>
          <w:tcPr>
            <w:tcW w:type="dxa" w:w="2880"/>
            <w:tcBorders>
              <w:top w:val="single" w:sz="8" w:color="000000"/>
              <w:bottom w:val="single" w:sz="8" w:color="000000"/>
            </w:tcBorders>
          </w:tcPr>
          <w:p>
            <w:pPr>
              <w:jc w:val="right"/>
            </w:pPr>
            <w:r/>
            <w:r>
              <w:rPr>
                <w:b/>
                <w:i w:val="0"/>
              </w:rPr>
              <w:t>Missing n (%)</w:t>
            </w:r>
          </w:p>
        </w:tc>
      </w:tr>
      <w:tr>
        <w:tc>
          <w:tcPr>
            <w:tcW w:type="dxa" w:w="2880"/>
            <w:tcBorders/>
          </w:tcPr>
          <w:p>
            <w:pPr>
              <w:ind w:left="0"/>
              <w:jc w:val="left"/>
            </w:pPr>
            <w:r/>
            <w:r>
              <w:rPr>
                <w:b w:val="0"/>
                <w:i w:val="0"/>
              </w:rPr>
              <w:t>Age (years)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36.86 (12.88)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0 (0.0%)</w:t>
            </w:r>
          </w:p>
        </w:tc>
      </w:tr>
      <w:tr>
        <w:tc>
          <w:tcPr>
            <w:tcW w:type="dxa" w:w="2880"/>
            <w:tcBorders/>
          </w:tcPr>
          <w:p>
            <w:pPr>
              <w:ind w:left="0"/>
              <w:jc w:val="left"/>
            </w:pPr>
            <w:r/>
            <w:r>
              <w:rPr>
                <w:b/>
                <w:i w:val="0"/>
              </w:rPr>
              <w:t>Gender identity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0 (0.0%)</w:t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Female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685 (71.6%)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Non-binary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4 (0.4%)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Genderfluid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4 (0.4%)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Male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261 (27.3%)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Other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1 (0.1%)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Prefer not to say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2 (0.2%)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/>
          </w:tcPr>
          <w:p>
            <w:pPr>
              <w:ind w:left="0"/>
              <w:jc w:val="left"/>
            </w:pPr>
            <w:r/>
            <w:r>
              <w:rPr>
                <w:b w:val="0"/>
                <w:i w:val="0"/>
              </w:rPr>
              <w:t>Baseline distress (sum score)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23.60 (8.91)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0 (0.0%)</w:t>
            </w:r>
          </w:p>
        </w:tc>
      </w:tr>
      <w:tr>
        <w:tc>
          <w:tcPr>
            <w:tcW w:type="dxa" w:w="2880"/>
            <w:tcBorders/>
          </w:tcPr>
          <w:p>
            <w:pPr>
              <w:ind w:left="0"/>
              <w:jc w:val="left"/>
            </w:pPr>
            <w:r/>
            <w:r>
              <w:rPr>
                <w:b/>
                <w:i w:val="0"/>
              </w:rPr>
              <w:t>Highest educational attainment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0 (0.0%)</w:t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No school-leaving certificate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3 (0.3%)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Lower secondary school or equivalent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48 (5.0%)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Intermediate secondary school or equivalent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145 (15.2%)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Higher education entrance qualification or equivalent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482 (50.4%)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Completed vocational training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269 (28.1%)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Other school-leaving certificate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10 (1.0%)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/>
          </w:tcPr>
          <w:p>
            <w:pPr>
              <w:ind w:left="0"/>
              <w:jc w:val="left"/>
            </w:pPr>
            <w:r/>
            <w:r>
              <w:rPr>
                <w:b/>
                <w:i w:val="0"/>
              </w:rPr>
              <w:t>Employment status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0 (0.0%)</w:t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Employed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573 (59.9%)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Self-employed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49 (5.1%)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Unemployed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67 (7.0%)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Retired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40 (4.2%)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Student / in training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162 (16.9%)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Other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66 (6.9%)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/>
          </w:tcPr>
          <w:p>
            <w:pPr>
              <w:ind w:left="0"/>
              <w:jc w:val="left"/>
            </w:pPr>
            <w:r/>
            <w:r>
              <w:rPr>
                <w:b/>
                <w:i w:val="0"/>
              </w:rPr>
              <w:t>Residential location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0 (0.0%)</w:t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Rural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383 (40.0%)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Medium-sized city/town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383 (40.0%)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Large city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191 (20.0%)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/>
          </w:tcPr>
          <w:p>
            <w:pPr>
              <w:ind w:left="0"/>
              <w:jc w:val="left"/>
            </w:pPr>
            <w:r/>
            <w:r>
              <w:rPr>
                <w:b/>
                <w:i w:val="0"/>
              </w:rPr>
              <w:t>Relationship status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0 (0.0%)</w:t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Yes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644 (67.3%)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/>
          </w:tcPr>
          <w:p>
            <w:pPr>
              <w:ind w:left="0"/>
              <w:jc w:val="left"/>
            </w:pPr>
            <w:r/>
            <w:r>
              <w:rPr>
                <w:b/>
                <w:i w:val="0"/>
              </w:rPr>
              <w:t>Migration background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0 (0.0%)</w:t>
            </w:r>
          </w:p>
        </w:tc>
      </w:tr>
      <w:tr>
        <w:tc>
          <w:tcPr>
            <w:tcW w:type="dxa" w:w="2880"/>
            <w:tcBorders/>
          </w:tcPr>
          <w:p>
            <w:pPr>
              <w:ind w:left="360"/>
              <w:jc w:val="left"/>
            </w:pPr>
            <w:r/>
            <w:r>
              <w:rPr>
                <w:b w:val="0"/>
                <w:i w:val="0"/>
              </w:rPr>
              <w:t>Yes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902 (94.3%)</w:t>
            </w:r>
          </w:p>
        </w:tc>
        <w:tc>
          <w:tcPr>
            <w:tcW w:type="dxa" w:w="2880"/>
            <w:tcBorders/>
          </w:tcPr>
          <w:p>
            <w:pPr>
              <w:jc w:val="right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880"/>
            <w:tcBorders>
              <w:bottom w:val="single" w:sz="8" w:color="000000"/>
            </w:tcBorders>
          </w:tcPr>
          <w:p>
            <w:pPr>
              <w:ind w:left="0"/>
              <w:jc w:val="left"/>
            </w:pPr>
            <w:r/>
            <w:r>
              <w:rPr>
                <w:b w:val="0"/>
                <w:i w:val="0"/>
              </w:rPr>
              <w:t>Socioeconomic status</w:t>
            </w:r>
          </w:p>
        </w:tc>
        <w:tc>
          <w:tcPr>
            <w:tcW w:type="dxa" w:w="2880"/>
            <w:tcBorders>
              <w:bottom w:val="single" w:sz="8" w:color="000000"/>
            </w:tcBorders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5.25 (1.84)</w:t>
            </w:r>
          </w:p>
        </w:tc>
        <w:tc>
          <w:tcPr>
            <w:tcW w:type="dxa" w:w="2880"/>
            <w:tcBorders>
              <w:bottom w:val="single" w:sz="8" w:color="000000"/>
            </w:tcBorders>
          </w:tcPr>
          <w:p>
            <w:pPr>
              <w:jc w:val="right"/>
            </w:pPr>
            <w:r/>
            <w:r>
              <w:rPr>
                <w:b w:val="0"/>
                <w:i w:val="0"/>
              </w:rPr>
              <w:t>0 (0.0%)</w:t>
            </w:r>
          </w:p>
        </w:tc>
      </w:tr>
    </w:tbl>
    <w:p/>
    <w:p>
      <w:r>
        <w:rPr>
          <w:i w:val="0"/>
        </w:rPr>
        <w:t>Note. N = 957. Continuous variables are presented as M (SD). Categorical variables are presented as n (%). Percentages for binary variables refer to the proportion of 'Yes' among non-missing responses.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