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44"/>
          <w:szCs w:val="44"/>
        </w:rPr>
        <w:t xml:space="preserve">MPAI Knowledge Graph (MKG)</w:t>
      </w:r>
    </w:p>
    <w:p>
      <w:pPr>
        <w:pBdr>
          <w:bottom w:val="single" w:color="1F3A5F" w:sz="8" w:space="4"/>
        </w:pBdr>
        <w:spacing w:after="160"/>
      </w:pPr>
      <w:r>
        <w:rPr>
          <w:rFonts w:ascii="Calibri" w:cs="Calibri" w:eastAsia="Calibri" w:hAnsi="Calibri"/>
          <w:color w:val="555555"/>
          <w:sz w:val="28"/>
          <w:szCs w:val="28"/>
        </w:rPr>
        <w:t xml:space="preserve">Compact user guide</w:t>
      </w:r>
    </w:p>
    <w:p>
      <w:pPr>
        <w:pStyle w:val="Heading1"/>
        <w:keepNext/>
        <w:spacing w:after="60" w:before="160"/>
      </w:pPr>
      <w:r>
        <w:rPr>
          <w:rFonts w:ascii="Calibri" w:cs="Calibri" w:eastAsia="Calibri" w:hAnsi="Calibri"/>
          <w:b/>
          <w:bCs/>
          <w:color w:val="1F3A5F"/>
          <w:sz w:val="28"/>
          <w:szCs w:val="28"/>
        </w:rPr>
        <w:t xml:space="preserve">1  What it is</w:t>
      </w:r>
    </w:p>
    <w:p>
      <w:pPr>
        <w:spacing w:after="100" w:line="264"/>
      </w:pPr>
      <w:r>
        <w:rPr>
          <w:rFonts w:ascii="Calibri" w:cs="Calibri" w:eastAsia="Calibri" w:hAnsi="Calibri"/>
          <w:color w:val="1A1A1A"/>
          <w:sz w:val="22"/>
          <w:szCs w:val="22"/>
        </w:rPr>
        <w:t xml:space="preserve">The MKG is a map of what MPAI standards specify and how the pieces connect: the AI Modules (AIMs) and the Data Types of every standard, the ports by which an AIM takes and gives each Data Type, the composite AIMs and the flows inside them, the implementations (L3s), the code, the Units of the User Agent and the software that runs it. Each item has its web page and its JSON schema. It shows the latest version of every standard.</w:t>
      </w:r>
    </w:p>
    <w:p>
      <w:pPr>
        <w:pStyle w:val="Heading1"/>
        <w:keepNext/>
        <w:spacing w:after="60" w:before="160"/>
      </w:pPr>
      <w:r>
        <w:rPr>
          <w:rFonts w:ascii="Calibri" w:cs="Calibri" w:eastAsia="Calibri" w:hAnsi="Calibri"/>
          <w:b/>
          <w:bCs/>
          <w:color w:val="1F3A5F"/>
          <w:sz w:val="28"/>
          <w:szCs w:val="28"/>
        </w:rPr>
        <w:t xml:space="preserve">2  Opening it</w:t>
      </w:r>
    </w:p>
    <w:p>
      <w:pPr>
        <w:pStyle w:val="ListParagraph"/>
        <w:numPr>
          <w:ilvl w:val="0"/>
          <w:numId w:val="2"/>
        </w:numPr>
        <w:spacing w:after="50" w:line="264"/>
      </w:pPr>
      <w:r>
        <w:rPr>
          <w:rFonts w:ascii="Calibri" w:cs="Calibri" w:eastAsia="Calibri" w:hAnsi="Calibri"/>
          <w:b/>
          <w:bCs/>
          <w:color w:val="1A1A1A"/>
          <w:sz w:val="22"/>
          <w:szCs w:val="22"/>
        </w:rPr>
        <w:t xml:space="preserve">From the desktop: </w:t>
      </w:r>
      <w:r>
        <w:rPr>
          <w:rFonts w:ascii="Calibri" w:cs="Calibri" w:eastAsia="Calibri" w:hAnsi="Calibri"/>
          <w:color w:val="1A1A1A"/>
          <w:sz w:val="22"/>
          <w:szCs w:val="22"/>
        </w:rPr>
        <w:t xml:space="preserve">double-click the MKG icon. "MPAI Knowledge Graph (app)" opens it as a window of its own, without the browser’s bars; "MPAI Knowledge Graph" opens it in the browser.</w:t>
      </w:r>
    </w:p>
    <w:p>
      <w:pPr>
        <w:pStyle w:val="ListParagraph"/>
        <w:numPr>
          <w:ilvl w:val="0"/>
          <w:numId w:val="2"/>
        </w:numPr>
        <w:spacing w:after="50" w:line="264"/>
      </w:pPr>
      <w:r>
        <w:rPr>
          <w:rFonts w:ascii="Calibri" w:cs="Calibri" w:eastAsia="Calibri" w:hAnsi="Calibri"/>
          <w:b/>
          <w:bCs/>
          <w:color w:val="1A1A1A"/>
          <w:sz w:val="22"/>
          <w:szCs w:val="22"/>
        </w:rPr>
        <w:t xml:space="preserve">Directly: </w:t>
      </w:r>
      <w:r>
        <w:rPr>
          <w:rFonts w:ascii="Calibri" w:cs="Calibri" w:eastAsia="Calibri" w:hAnsi="Calibri"/>
          <w:color w:val="1A1A1A"/>
          <w:sz w:val="22"/>
          <w:szCs w:val="22"/>
        </w:rPr>
        <w:t xml:space="preserve">open the file </w:t>
      </w:r>
      <w:r>
        <w:rPr>
          <w:rFonts w:ascii="Consolas" w:cs="Consolas" w:eastAsia="Consolas" w:hAnsi="Consolas"/>
          <w:color w:val="1A1A1A"/>
          <w:sz w:val="21"/>
          <w:szCs w:val="21"/>
        </w:rPr>
        <w:t xml:space="preserve">MKG\mkg-viewer.html</w:t>
      </w:r>
      <w:r>
        <w:rPr>
          <w:rFonts w:ascii="Calibri" w:cs="Calibri" w:eastAsia="Calibri" w:hAnsi="Calibri"/>
          <w:color w:val="1A1A1A"/>
          <w:sz w:val="22"/>
          <w:szCs w:val="22"/>
        </w:rPr>
        <w:t xml:space="preserve"> in a browser. It is a single page and needs no server; the picture needs an internet connection, because its drawing library is loaded from the web.</w:t>
      </w:r>
    </w:p>
    <w:p>
      <w:pPr>
        <w:pStyle w:val="ListParagraph"/>
        <w:numPr>
          <w:ilvl w:val="0"/>
          <w:numId w:val="2"/>
        </w:numPr>
        <w:spacing w:after="50" w:line="264"/>
      </w:pPr>
      <w:r>
        <w:rPr>
          <w:rFonts w:ascii="Calibri" w:cs="Calibri" w:eastAsia="Calibri" w:hAnsi="Calibri"/>
          <w:b/>
          <w:bCs/>
          <w:color w:val="1A1A1A"/>
          <w:sz w:val="22"/>
          <w:szCs w:val="22"/>
        </w:rPr>
        <w:t xml:space="preserve">At a given place: </w:t>
      </w:r>
      <w:r>
        <w:rPr>
          <w:rFonts w:ascii="Calibri" w:cs="Calibri" w:eastAsia="Calibri" w:hAnsi="Calibri"/>
          <w:color w:val="1A1A1A"/>
          <w:sz w:val="22"/>
          <w:szCs w:val="22"/>
        </w:rPr>
        <w:t xml:space="preserve">add the item to the address, for example </w:t>
      </w:r>
      <w:r>
        <w:rPr>
          <w:rFonts w:ascii="Consolas" w:cs="Consolas" w:eastAsia="Consolas" w:hAnsi="Consolas"/>
          <w:color w:val="1A1A1A"/>
          <w:sz w:val="21"/>
          <w:szCs w:val="21"/>
        </w:rPr>
        <w:t xml:space="preserve">#PAF-VMS-V1.6</w:t>
      </w:r>
      <w:r>
        <w:rPr>
          <w:rFonts w:ascii="Calibri" w:cs="Calibri" w:eastAsia="Calibri" w:hAnsi="Calibri"/>
          <w:color w:val="1A1A1A"/>
          <w:sz w:val="22"/>
          <w:szCs w:val="22"/>
        </w:rPr>
        <w:t xml:space="preserve"> for an AIM and </w:t>
      </w:r>
      <w:r>
        <w:rPr>
          <w:rFonts w:ascii="Consolas" w:cs="Consolas" w:eastAsia="Consolas" w:hAnsi="Consolas"/>
          <w:color w:val="1A1A1A"/>
          <w:sz w:val="21"/>
          <w:szCs w:val="21"/>
        </w:rPr>
        <w:t xml:space="preserve">#OSD-BMS-V1.5~dt</w:t>
      </w:r>
      <w:r>
        <w:rPr>
          <w:rFonts w:ascii="Calibri" w:cs="Calibri" w:eastAsia="Calibri" w:hAnsi="Calibri"/>
          <w:color w:val="1A1A1A"/>
          <w:sz w:val="22"/>
          <w:szCs w:val="22"/>
        </w:rPr>
        <w:t xml:space="preserve"> for a Data Type. Send the address and the page opens there.</w:t>
      </w:r>
    </w:p>
    <w:p>
      <w:pPr>
        <w:spacing w:after="60" w:line="264"/>
      </w:pPr>
      <w:r>
        <w:rPr>
          <w:rFonts w:ascii="Calibri" w:cs="Calibri" w:eastAsia="Calibri" w:hAnsi="Calibri"/>
          <w:color w:val="1A1A1A"/>
          <w:sz w:val="22"/>
          <w:szCs w:val="22"/>
        </w:rPr>
        <w:t xml:space="preserve">Clicking the title "MPAI Knowledge Graph" at the top always brings you back to the home page.</w:t>
      </w:r>
    </w:p>
    <w:p>
      <w:pPr>
        <w:pStyle w:val="Heading1"/>
        <w:keepNext/>
        <w:spacing w:after="60" w:before="160"/>
      </w:pPr>
      <w:r>
        <w:rPr>
          <w:rFonts w:ascii="Calibri" w:cs="Calibri" w:eastAsia="Calibri" w:hAnsi="Calibri"/>
          <w:b/>
          <w:bCs/>
          <w:color w:val="1F3A5F"/>
          <w:sz w:val="28"/>
          <w:szCs w:val="28"/>
        </w:rPr>
        <w:t xml:space="preserve">3  The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8C0CC" w:sz="4"/>
              <w:left w:val="single" w:color="B8C0CC" w:sz="4"/>
              <w:bottom w:val="single" w:color="B8C0CC" w:sz="4"/>
              <w:right w:val="single" w:color="B8C0CC" w:sz="4"/>
            </w:tcBorders>
            <w:shd w:fill="E8EEF6" w:color="auto" w:val="clear"/>
            <w:tcMar>
              <w:top w:type="dxa" w:w="40"/>
              <w:left w:type="dxa" w:w="100"/>
              <w:bottom w:type="dxa" w:w="40"/>
              <w:right w:type="dxa" w:w="100"/>
            </w:tcMar>
          </w:tcPr>
          <w:p>
            <w:pPr>
              <w:spacing w:after="0" w:line="252"/>
            </w:pPr>
            <w:r>
              <w:rPr>
                <w:rFonts w:ascii="Calibri" w:cs="Calibri" w:eastAsia="Calibri" w:hAnsi="Calibri"/>
                <w:b/>
                <w:bCs/>
                <w:color w:val="1A1A1A"/>
                <w:sz w:val="21"/>
                <w:szCs w:val="21"/>
              </w:rPr>
              <w:t xml:space="preserve">Area</w:t>
            </w:r>
          </w:p>
        </w:tc>
        <w:tc>
          <w:tcPr>
            <w:tcW w:type="dxa" w:w="7638"/>
            <w:tcBorders>
              <w:top w:val="single" w:color="B8C0CC" w:sz="4"/>
              <w:left w:val="single" w:color="B8C0CC" w:sz="4"/>
              <w:bottom w:val="single" w:color="B8C0CC" w:sz="4"/>
              <w:right w:val="single" w:color="B8C0CC" w:sz="4"/>
            </w:tcBorders>
            <w:shd w:fill="E8EEF6" w:color="auto" w:val="clear"/>
            <w:tcMar>
              <w:top w:type="dxa" w:w="40"/>
              <w:left w:type="dxa" w:w="100"/>
              <w:bottom w:type="dxa" w:w="40"/>
              <w:right w:type="dxa" w:w="100"/>
            </w:tcMar>
          </w:tcPr>
          <w:p>
            <w:pPr>
              <w:spacing w:after="0" w:line="252"/>
            </w:pPr>
            <w:r>
              <w:rPr>
                <w:rFonts w:ascii="Calibri" w:cs="Calibri" w:eastAsia="Calibri" w:hAnsi="Calibri"/>
                <w:b/>
                <w:bCs/>
                <w:color w:val="1A1A1A"/>
                <w:sz w:val="21"/>
                <w:szCs w:val="21"/>
              </w:rPr>
              <w:t xml:space="preserve">What it does</w:t>
            </w:r>
          </w:p>
        </w:tc>
      </w:tr>
      <w:tr>
        <w:trPr>
          <w:cantSplit/>
          <w:tblHeader w:val="off"/>
        </w:trPr>
        <w:tc>
          <w:tcPr>
            <w:tcW w:type="dxa" w:w="2000"/>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Top bar</w:t>
            </w:r>
          </w:p>
        </w:tc>
        <w:tc>
          <w:tcPr>
            <w:tcW w:type="dxa" w:w="7638"/>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The search box. Type a name (PDX, OSD-BMS, "Personal Status", UAU, NNW) and press Enter: the first match opens. The counter says how many items match.</w:t>
            </w:r>
          </w:p>
        </w:tc>
      </w:tr>
      <w:tr>
        <w:trPr>
          <w:cantSplit/>
          <w:tblHeader w:val="off"/>
        </w:trPr>
        <w:tc>
          <w:tcPr>
            <w:tcW w:type="dxa" w:w="2000"/>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Left pane</w:t>
            </w:r>
          </w:p>
        </w:tc>
        <w:tc>
          <w:tcPr>
            <w:tcW w:type="dxa" w:w="7638"/>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Four blocks: Kinds of item, Of these standards, Narrow the list to, List of items (see section 5).</w:t>
            </w:r>
          </w:p>
        </w:tc>
      </w:tr>
      <w:tr>
        <w:trPr>
          <w:cantSplit/>
          <w:tblHeader w:val="off"/>
        </w:trPr>
        <w:tc>
          <w:tcPr>
            <w:tcW w:type="dxa" w:w="2000"/>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Centre</w:t>
            </w:r>
          </w:p>
        </w:tc>
        <w:tc>
          <w:tcPr>
            <w:tcW w:type="dxa" w:w="7638"/>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The picture: the item you chose with its neighbours.</w:t>
            </w:r>
          </w:p>
        </w:tc>
      </w:tr>
      <w:tr>
        <w:trPr>
          <w:cantSplit/>
          <w:tblHeader w:val="off"/>
        </w:trPr>
        <w:tc>
          <w:tcPr>
            <w:tcW w:type="dxa" w:w="2000"/>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Right pane</w:t>
            </w:r>
          </w:p>
        </w:tc>
        <w:tc>
          <w:tcPr>
            <w:tcW w:type="dxa" w:w="7638"/>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The details of the item: its name, its web page, what it specifies or what it is made of, and its connections, each a link.</w:t>
            </w:r>
          </w:p>
        </w:tc>
      </w:tr>
    </w:tbl>
    <w:p>
      <w:pPr>
        <w:spacing w:after="60" w:line="264"/>
      </w:pPr>
      <w:r>
        <w:rPr>
          <w:rFonts w:ascii="Calibri" w:cs="Calibri" w:eastAsia="Calibri" w:hAnsi="Calibri"/>
          <w:color w:val="1A1A1A"/>
          <w:sz w:val="22"/>
          <w:szCs w:val="22"/>
        </w:rPr>
        <w:t xml:space="preserve"/>
      </w:r>
    </w:p>
    <w:p>
      <w:pPr>
        <w:pStyle w:val="Heading1"/>
        <w:keepNext/>
        <w:spacing w:after="60" w:before="160"/>
      </w:pPr>
      <w:r>
        <w:rPr>
          <w:rFonts w:ascii="Calibri" w:cs="Calibri" w:eastAsia="Calibri" w:hAnsi="Calibri"/>
          <w:b/>
          <w:bCs/>
          <w:color w:val="1F3A5F"/>
          <w:sz w:val="28"/>
          <w:szCs w:val="28"/>
        </w:rPr>
        <w:t xml:space="preserve">4  Reading the picture</w:t>
      </w:r>
    </w:p>
    <w:p>
      <w:pPr>
        <w:spacing w:after="100" w:line="264"/>
      </w:pPr>
      <w:r>
        <w:rPr>
          <w:rFonts w:ascii="Calibri" w:cs="Calibri" w:eastAsia="Calibri" w:hAnsi="Calibri"/>
          <w:b/>
          <w:bCs/>
          <w:color w:val="1A1A1A"/>
          <w:sz w:val="22"/>
          <w:szCs w:val="22"/>
        </w:rPr>
        <w:t xml:space="preserve">Where things are. </w:t>
      </w:r>
      <w:r>
        <w:rPr>
          <w:rFonts w:ascii="Calibri" w:cs="Calibri" w:eastAsia="Calibri" w:hAnsi="Calibri"/>
          <w:color w:val="1A1A1A"/>
          <w:sz w:val="22"/>
          <w:szCs w:val="22"/>
        </w:rPr>
        <w:t xml:space="preserve">On an AIM page, what the AIM takes in is on the left and what it gives out is on the right; its Sub-AIMs are below it, and the composites and L3s that contain it are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8C0CC" w:sz="4"/>
              <w:left w:val="single" w:color="B8C0CC" w:sz="4"/>
              <w:bottom w:val="single" w:color="B8C0CC" w:sz="4"/>
              <w:right w:val="single" w:color="B8C0CC" w:sz="4"/>
            </w:tcBorders>
            <w:shd w:fill="E8EEF6" w:color="auto" w:val="clear"/>
            <w:tcMar>
              <w:top w:type="dxa" w:w="40"/>
              <w:left w:type="dxa" w:w="100"/>
              <w:bottom w:type="dxa" w:w="40"/>
              <w:right w:type="dxa" w:w="100"/>
            </w:tcMar>
          </w:tcPr>
          <w:p>
            <w:pPr>
              <w:spacing w:after="0" w:line="252"/>
            </w:pPr>
            <w:r>
              <w:rPr>
                <w:rFonts w:ascii="Calibri" w:cs="Calibri" w:eastAsia="Calibri" w:hAnsi="Calibri"/>
                <w:b/>
                <w:bCs/>
                <w:color w:val="1A1A1A"/>
                <w:sz w:val="21"/>
                <w:szCs w:val="21"/>
              </w:rPr>
              <w:t xml:space="preserve">Shape and colour</w:t>
            </w:r>
          </w:p>
        </w:tc>
        <w:tc>
          <w:tcPr>
            <w:tcW w:type="dxa" w:w="6438"/>
            <w:tcBorders>
              <w:top w:val="single" w:color="B8C0CC" w:sz="4"/>
              <w:left w:val="single" w:color="B8C0CC" w:sz="4"/>
              <w:bottom w:val="single" w:color="B8C0CC" w:sz="4"/>
              <w:right w:val="single" w:color="B8C0CC" w:sz="4"/>
            </w:tcBorders>
            <w:shd w:fill="E8EEF6" w:color="auto" w:val="clear"/>
            <w:tcMar>
              <w:top w:type="dxa" w:w="40"/>
              <w:left w:type="dxa" w:w="100"/>
              <w:bottom w:type="dxa" w:w="40"/>
              <w:right w:type="dxa" w:w="100"/>
            </w:tcMar>
          </w:tcPr>
          <w:p>
            <w:pPr>
              <w:spacing w:after="0" w:line="252"/>
            </w:pPr>
            <w:r>
              <w:rPr>
                <w:rFonts w:ascii="Calibri" w:cs="Calibri" w:eastAsia="Calibri" w:hAnsi="Calibri"/>
                <w:b/>
                <w:bCs/>
                <w:color w:val="1A1A1A"/>
                <w:sz w:val="21"/>
                <w:szCs w:val="21"/>
              </w:rPr>
              <w:t xml:space="preserve">Means</w:t>
            </w:r>
          </w:p>
        </w:tc>
      </w:tr>
      <w:tr>
        <w:trPr>
          <w:cantSplit/>
          <w:tblHeader w:val="off"/>
        </w:trPr>
        <w:tc>
          <w:tcPr>
            <w:tcW w:type="dxa" w:w="3200"/>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Blue rounded box</w:t>
            </w:r>
          </w:p>
        </w:tc>
        <w:tc>
          <w:tcPr>
            <w:tcW w:type="dxa" w:w="6438"/>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an AIM</w:t>
            </w:r>
          </w:p>
        </w:tc>
      </w:tr>
      <w:tr>
        <w:trPr>
          <w:cantSplit/>
          <w:tblHeader w:val="off"/>
        </w:trPr>
        <w:tc>
          <w:tcPr>
            <w:tcW w:type="dxa" w:w="3200"/>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Green circle</w:t>
            </w:r>
          </w:p>
        </w:tc>
        <w:tc>
          <w:tcPr>
            <w:tcW w:type="dxa" w:w="6438"/>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a Data Type</w:t>
            </w:r>
          </w:p>
        </w:tc>
      </w:tr>
      <w:tr>
        <w:trPr>
          <w:cantSplit/>
          <w:tblHeader w:val="off"/>
        </w:trPr>
        <w:tc>
          <w:tcPr>
            <w:tcW w:type="dxa" w:w="3200"/>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Purple diamond</w:t>
            </w:r>
          </w:p>
        </w:tc>
        <w:tc>
          <w:tcPr>
            <w:tcW w:type="dxa" w:w="6438"/>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an L3 (an implementation of an AIM)</w:t>
            </w:r>
          </w:p>
        </w:tc>
      </w:tr>
      <w:tr>
        <w:trPr>
          <w:cantSplit/>
          <w:tblHeader w:val="off"/>
        </w:trPr>
        <w:tc>
          <w:tcPr>
            <w:tcW w:type="dxa" w:w="3200"/>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Amber hexagon</w:t>
            </w:r>
          </w:p>
        </w:tc>
        <w:tc>
          <w:tcPr>
            <w:tcW w:type="dxa" w:w="6438"/>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a standard, or a part of a standard</w:t>
            </w:r>
          </w:p>
        </w:tc>
      </w:tr>
      <w:tr>
        <w:trPr>
          <w:cantSplit/>
          <w:tblHeader w:val="off"/>
        </w:trPr>
        <w:tc>
          <w:tcPr>
            <w:tcW w:type="dxa" w:w="3200"/>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Teal tag</w:t>
            </w:r>
          </w:p>
        </w:tc>
        <w:tc>
          <w:tcPr>
            <w:tcW w:type="dxa" w:w="6438"/>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an MMM Action</w:t>
            </w:r>
          </w:p>
        </w:tc>
      </w:tr>
      <w:tr>
        <w:trPr>
          <w:cantSplit/>
          <w:tblHeader w:val="off"/>
        </w:trPr>
        <w:tc>
          <w:tcPr>
            <w:tcW w:type="dxa" w:w="3200"/>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Purple barrel</w:t>
            </w:r>
          </w:p>
        </w:tc>
        <w:tc>
          <w:tcPr>
            <w:tcW w:type="dxa" w:w="6438"/>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a Unit of the User Agent (UAU)</w:t>
            </w:r>
          </w:p>
        </w:tc>
      </w:tr>
      <w:tr>
        <w:trPr>
          <w:cantSplit/>
          <w:tblHeader w:val="off"/>
        </w:trPr>
        <w:tc>
          <w:tcPr>
            <w:tcW w:type="dxa" w:w="3200"/>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Grey box</w:t>
            </w:r>
          </w:p>
        </w:tc>
        <w:tc>
          <w:tcPr>
            <w:tcW w:type="dxa" w:w="6438"/>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a software project</w:t>
            </w:r>
          </w:p>
        </w:tc>
      </w:tr>
      <w:tr>
        <w:trPr>
          <w:cantSplit/>
          <w:tblHeader w:val="off"/>
        </w:trPr>
        <w:tc>
          <w:tcPr>
            <w:tcW w:type="dxa" w:w="3200"/>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Dashed border</w:t>
            </w:r>
          </w:p>
        </w:tc>
        <w:tc>
          <w:tcPr>
            <w:tcW w:type="dxa" w:w="6438"/>
            <w:tcBorders>
              <w:top w:val="single" w:color="B8C0CC" w:sz="4"/>
              <w:left w:val="single" w:color="B8C0CC" w:sz="4"/>
              <w:bottom w:val="single" w:color="B8C0CC" w:sz="4"/>
              <w:right w:val="single" w:color="B8C0CC" w:sz="4"/>
            </w:tcBorders>
            <w:tcMar>
              <w:top w:type="dxa" w:w="40"/>
              <w:left w:type="dxa" w:w="100"/>
              <w:bottom w:type="dxa" w:w="40"/>
              <w:right w:type="dxa" w:w="100"/>
            </w:tcMar>
          </w:tcPr>
          <w:p>
            <w:pPr>
              <w:spacing w:after="0" w:line="252"/>
            </w:pPr>
            <w:r>
              <w:rPr>
                <w:rFonts w:ascii="Calibri" w:cs="Calibri" w:eastAsia="Calibri" w:hAnsi="Calibri"/>
                <w:b w:val="false"/>
                <w:bCs w:val="false"/>
                <w:color w:val="1A1A1A"/>
                <w:sz w:val="21"/>
                <w:szCs w:val="21"/>
              </w:rPr>
              <w:t xml:space="preserve">a composite whose Topology is not yet written by Data Type</w:t>
            </w:r>
          </w:p>
        </w:tc>
      </w:tr>
    </w:tbl>
    <w:p>
      <w:pPr>
        <w:spacing w:after="40" w:line="264"/>
      </w:pPr>
      <w:r>
        <w:rPr>
          <w:rFonts w:ascii="Calibri" w:cs="Calibri" w:eastAsia="Calibri" w:hAnsi="Calibri"/>
          <w:color w:val="1A1A1A"/>
          <w:sz w:val="22"/>
          <w:szCs w:val="22"/>
        </w:rPr>
        <w:t xml:space="preserve"/>
      </w:r>
    </w:p>
    <w:p>
      <w:pPr>
        <w:pStyle w:val="Heading1"/>
        <w:keepNext/>
        <w:spacing w:after="60" w:before="160"/>
      </w:pPr>
      <w:r>
        <w:rPr>
          <w:rFonts w:ascii="Calibri" w:cs="Calibri" w:eastAsia="Calibri" w:hAnsi="Calibri"/>
          <w:b/>
          <w:bCs/>
          <w:color w:val="1F3A5F"/>
          <w:sz w:val="28"/>
          <w:szCs w:val="28"/>
        </w:rPr>
        <w:t xml:space="preserve">5  Finding and moving</w:t>
      </w:r>
    </w:p>
    <w:p>
      <w:pPr>
        <w:pStyle w:val="ListParagraph"/>
        <w:numPr>
          <w:ilvl w:val="0"/>
          <w:numId w:val="2"/>
        </w:numPr>
        <w:spacing w:after="50" w:line="264"/>
      </w:pPr>
      <w:r>
        <w:rPr>
          <w:rFonts w:ascii="Calibri" w:cs="Calibri" w:eastAsia="Calibri" w:hAnsi="Calibri"/>
          <w:b/>
          <w:bCs/>
          <w:color w:val="1A1A1A"/>
          <w:sz w:val="22"/>
          <w:szCs w:val="22"/>
        </w:rPr>
        <w:t xml:space="preserve">Kinds of item. </w:t>
      </w:r>
      <w:r>
        <w:rPr>
          <w:rFonts w:ascii="Calibri" w:cs="Calibri" w:eastAsia="Calibri" w:hAnsi="Calibri"/>
          <w:color w:val="1A1A1A"/>
          <w:sz w:val="22"/>
          <w:szCs w:val="22"/>
        </w:rPr>
        <w:t xml:space="preserve">Tick the kinds you want. Items of an unticked kind do not appear in the list, in the search results or in the picture.</w:t>
      </w:r>
    </w:p>
    <w:p>
      <w:pPr>
        <w:pStyle w:val="ListParagraph"/>
        <w:numPr>
          <w:ilvl w:val="0"/>
          <w:numId w:val="2"/>
        </w:numPr>
        <w:spacing w:after="50" w:line="264"/>
      </w:pPr>
      <w:r>
        <w:rPr>
          <w:rFonts w:ascii="Calibri" w:cs="Calibri" w:eastAsia="Calibri" w:hAnsi="Calibri"/>
          <w:b/>
          <w:bCs/>
          <w:color w:val="1A1A1A"/>
          <w:sz w:val="22"/>
          <w:szCs w:val="22"/>
        </w:rPr>
        <w:t xml:space="preserve">Of these standards. </w:t>
      </w:r>
      <w:r>
        <w:rPr>
          <w:rFonts w:ascii="Calibri" w:cs="Calibri" w:eastAsia="Calibri" w:hAnsi="Calibri"/>
          <w:color w:val="1A1A1A"/>
          <w:sz w:val="22"/>
          <w:szCs w:val="22"/>
        </w:rPr>
        <w:t xml:space="preserve">Tick the standards you want.</w:t>
      </w:r>
    </w:p>
    <w:p>
      <w:pPr>
        <w:pStyle w:val="ListParagraph"/>
        <w:numPr>
          <w:ilvl w:val="0"/>
          <w:numId w:val="2"/>
        </w:numPr>
        <w:spacing w:after="50" w:line="264"/>
      </w:pPr>
      <w:r>
        <w:rPr>
          <w:rFonts w:ascii="Calibri" w:cs="Calibri" w:eastAsia="Calibri" w:hAnsi="Calibri"/>
          <w:b/>
          <w:bCs/>
          <w:color w:val="1A1A1A"/>
          <w:sz w:val="22"/>
          <w:szCs w:val="22"/>
        </w:rPr>
        <w:t xml:space="preserve">Narrow the list to. </w:t>
      </w:r>
      <w:r>
        <w:rPr>
          <w:rFonts w:ascii="Calibri" w:cs="Calibri" w:eastAsia="Calibri" w:hAnsi="Calibri"/>
          <w:color w:val="1A1A1A"/>
          <w:sz w:val="22"/>
          <w:szCs w:val="22"/>
        </w:rPr>
        <w:t xml:space="preserve">Include items that exist only on web pages (no schema); only composite AIMs; only what has code; only what is not yet aligned to M3194.</w:t>
      </w:r>
    </w:p>
    <w:p>
      <w:pPr>
        <w:pStyle w:val="ListParagraph"/>
        <w:numPr>
          <w:ilvl w:val="0"/>
          <w:numId w:val="2"/>
        </w:numPr>
        <w:spacing w:after="50" w:line="264"/>
      </w:pPr>
      <w:r>
        <w:rPr>
          <w:rFonts w:ascii="Calibri" w:cs="Calibri" w:eastAsia="Calibri" w:hAnsi="Calibri"/>
          <w:b/>
          <w:bCs/>
          <w:color w:val="1A1A1A"/>
          <w:sz w:val="22"/>
          <w:szCs w:val="22"/>
        </w:rPr>
        <w:t xml:space="preserve">List of items. </w:t>
      </w:r>
      <w:r>
        <w:rPr>
          <w:rFonts w:ascii="Calibri" w:cs="Calibri" w:eastAsia="Calibri" w:hAnsi="Calibri"/>
          <w:color w:val="1A1A1A"/>
          <w:sz w:val="22"/>
          <w:szCs w:val="22"/>
        </w:rPr>
        <w:t xml:space="preserve">Click an item to open it.</w:t>
      </w:r>
    </w:p>
    <w:p>
      <w:pPr>
        <w:pStyle w:val="ListParagraph"/>
        <w:numPr>
          <w:ilvl w:val="0"/>
          <w:numId w:val="2"/>
        </w:numPr>
        <w:spacing w:after="50" w:line="264"/>
      </w:pPr>
      <w:r>
        <w:rPr>
          <w:rFonts w:ascii="Calibri" w:cs="Calibri" w:eastAsia="Calibri" w:hAnsi="Calibri"/>
          <w:b/>
          <w:bCs/>
          <w:color w:val="1A1A1A"/>
          <w:sz w:val="22"/>
          <w:szCs w:val="22"/>
        </w:rPr>
        <w:t xml:space="preserve">In the picture. </w:t>
      </w:r>
      <w:r>
        <w:rPr>
          <w:rFonts w:ascii="Calibri" w:cs="Calibri" w:eastAsia="Calibri" w:hAnsi="Calibri"/>
          <w:color w:val="1A1A1A"/>
          <w:sz w:val="22"/>
          <w:szCs w:val="22"/>
        </w:rPr>
        <w:t xml:space="preserve">Click a node: its web page opens in a new tab. Shift-click: show the node here. Alt-click: show its neighbours too. The small arrow next to a name in the right pane opens its web page.</w:t>
      </w:r>
    </w:p>
    <w:p>
      <w:pPr>
        <w:pStyle w:val="ListParagraph"/>
        <w:numPr>
          <w:ilvl w:val="0"/>
          <w:numId w:val="2"/>
        </w:numPr>
        <w:spacing w:after="50" w:line="264"/>
      </w:pPr>
      <w:r>
        <w:rPr>
          <w:rFonts w:ascii="Calibri" w:cs="Calibri" w:eastAsia="Calibri" w:hAnsi="Calibri"/>
          <w:b/>
          <w:bCs/>
          <w:color w:val="1A1A1A"/>
          <w:sz w:val="22"/>
          <w:szCs w:val="22"/>
        </w:rPr>
        <w:t xml:space="preserve">Standards with parts. </w:t>
      </w:r>
      <w:r>
        <w:rPr>
          <w:rFonts w:ascii="Calibri" w:cs="Calibri" w:eastAsia="Calibri" w:hAnsi="Calibri"/>
          <w:color w:val="1A1A1A"/>
          <w:sz w:val="22"/>
          <w:szCs w:val="22"/>
        </w:rPr>
        <w:t xml:space="preserve">A standard that has parts is not clickable in the table; click the name of a part, for example HSP of AIH.</w:t>
      </w:r>
    </w:p>
    <w:p>
      <w:pPr>
        <w:pStyle w:val="Heading1"/>
        <w:keepNext/>
        <w:spacing w:after="60" w:before="160"/>
      </w:pPr>
      <w:r>
        <w:rPr>
          <w:rFonts w:ascii="Calibri" w:cs="Calibri" w:eastAsia="Calibri" w:hAnsi="Calibri"/>
          <w:b/>
          <w:bCs/>
          <w:color w:val="1F3A5F"/>
          <w:sz w:val="28"/>
          <w:szCs w:val="28"/>
        </w:rPr>
        <w:t xml:space="preserve">6  What each page tells you</w:t>
      </w:r>
    </w:p>
    <w:p>
      <w:pPr>
        <w:pStyle w:val="ListParagraph"/>
        <w:numPr>
          <w:ilvl w:val="0"/>
          <w:numId w:val="2"/>
        </w:numPr>
        <w:spacing w:after="50" w:line="264"/>
      </w:pPr>
      <w:r>
        <w:rPr>
          <w:rFonts w:ascii="Calibri" w:cs="Calibri" w:eastAsia="Calibri" w:hAnsi="Calibri"/>
          <w:b/>
          <w:bCs/>
          <w:color w:val="1A1A1A"/>
          <w:sz w:val="22"/>
          <w:szCs w:val="22"/>
        </w:rPr>
        <w:t xml:space="preserve">An AIM: </w:t>
      </w:r>
      <w:r>
        <w:rPr>
          <w:rFonts w:ascii="Calibri" w:cs="Calibri" w:eastAsia="Calibri" w:hAnsi="Calibri"/>
          <w:color w:val="1A1A1A"/>
          <w:sz w:val="22"/>
          <w:szCs w:val="22"/>
        </w:rPr>
        <w:t xml:space="preserve">its ports by Data Type; the AIMs it is connected to inside composites, and those that could connect; its Sub-AIMs; its implementation and code.</w:t>
      </w:r>
    </w:p>
    <w:p>
      <w:pPr>
        <w:pStyle w:val="ListParagraph"/>
        <w:numPr>
          <w:ilvl w:val="0"/>
          <w:numId w:val="2"/>
        </w:numPr>
        <w:spacing w:after="50" w:line="264"/>
      </w:pPr>
      <w:r>
        <w:rPr>
          <w:rFonts w:ascii="Calibri" w:cs="Calibri" w:eastAsia="Calibri" w:hAnsi="Calibri"/>
          <w:b/>
          <w:bCs/>
          <w:color w:val="1A1A1A"/>
          <w:sz w:val="22"/>
          <w:szCs w:val="22"/>
        </w:rPr>
        <w:t xml:space="preserve">A Data Type: </w:t>
      </w:r>
      <w:r>
        <w:rPr>
          <w:rFonts w:ascii="Calibri" w:cs="Calibri" w:eastAsia="Calibri" w:hAnsi="Calibri"/>
          <w:color w:val="1A1A1A"/>
          <w:sz w:val="22"/>
          <w:szCs w:val="22"/>
        </w:rPr>
        <w:t xml:space="preserve">who produces it, who consumes it, and what it is built from.</w:t>
      </w:r>
    </w:p>
    <w:p>
      <w:pPr>
        <w:pStyle w:val="ListParagraph"/>
        <w:numPr>
          <w:ilvl w:val="0"/>
          <w:numId w:val="2"/>
        </w:numPr>
        <w:spacing w:after="50" w:line="264"/>
      </w:pPr>
      <w:r>
        <w:rPr>
          <w:rFonts w:ascii="Calibri" w:cs="Calibri" w:eastAsia="Calibri" w:hAnsi="Calibri"/>
          <w:b/>
          <w:bCs/>
          <w:color w:val="1A1A1A"/>
          <w:sz w:val="22"/>
          <w:szCs w:val="22"/>
        </w:rPr>
        <w:t xml:space="preserve">A composite AIM: </w:t>
      </w:r>
      <w:r>
        <w:rPr>
          <w:rFonts w:ascii="Calibri" w:cs="Calibri" w:eastAsia="Calibri" w:hAnsi="Calibri"/>
          <w:color w:val="1A1A1A"/>
          <w:sz w:val="22"/>
          <w:szCs w:val="22"/>
        </w:rPr>
        <w:t xml:space="preserve">its Sub-AIMs and its flows, each from an AIM and a Data Type to another, so a workflow reads like a table.</w:t>
      </w:r>
    </w:p>
    <w:p>
      <w:pPr>
        <w:pStyle w:val="ListParagraph"/>
        <w:numPr>
          <w:ilvl w:val="0"/>
          <w:numId w:val="2"/>
        </w:numPr>
        <w:spacing w:after="50" w:line="264"/>
      </w:pPr>
      <w:r>
        <w:rPr>
          <w:rFonts w:ascii="Calibri" w:cs="Calibri" w:eastAsia="Calibri" w:hAnsi="Calibri"/>
          <w:b/>
          <w:bCs/>
          <w:color w:val="1A1A1A"/>
          <w:sz w:val="22"/>
          <w:szCs w:val="22"/>
        </w:rPr>
        <w:t xml:space="preserve">A Unit or a software project: </w:t>
      </w:r>
      <w:r>
        <w:rPr>
          <w:rFonts w:ascii="Calibri" w:cs="Calibri" w:eastAsia="Calibri" w:hAnsi="Calibri"/>
          <w:color w:val="1A1A1A"/>
          <w:sz w:val="22"/>
          <w:szCs w:val="22"/>
        </w:rPr>
        <w:t xml:space="preserve">the library it uses, what it implements, what it depends on. Tick "Software" on the left to see the projects.</w:t>
      </w:r>
    </w:p>
    <w:p>
      <w:pPr>
        <w:pStyle w:val="Heading1"/>
        <w:keepNext/>
        <w:spacing w:after="60" w:before="160"/>
      </w:pPr>
      <w:r>
        <w:rPr>
          <w:rFonts w:ascii="Calibri" w:cs="Calibri" w:eastAsia="Calibri" w:hAnsi="Calibri"/>
          <w:b/>
          <w:bCs/>
          <w:color w:val="1F3A5F"/>
          <w:sz w:val="28"/>
          <w:szCs w:val="28"/>
        </w:rPr>
        <w:t xml:space="preserve">7  Good to know</w:t>
      </w:r>
    </w:p>
    <w:p>
      <w:pPr>
        <w:pStyle w:val="ListParagraph"/>
        <w:numPr>
          <w:ilvl w:val="0"/>
          <w:numId w:val="2"/>
        </w:numPr>
        <w:spacing w:after="50" w:line="264"/>
      </w:pPr>
      <w:r>
        <w:rPr>
          <w:rFonts w:ascii="Calibri" w:cs="Calibri" w:eastAsia="Calibri" w:hAnsi="Calibri"/>
          <w:color w:val="1A1A1A"/>
          <w:sz w:val="22"/>
          <w:szCs w:val="22"/>
        </w:rPr>
        <w:t xml:space="preserve">Names are labels: a port is identified by its Data Type and Port Number, and the MKG shows it that way.</w:t>
      </w:r>
    </w:p>
    <w:p>
      <w:pPr>
        <w:pStyle w:val="ListParagraph"/>
        <w:numPr>
          <w:ilvl w:val="0"/>
          <w:numId w:val="2"/>
        </w:numPr>
        <w:spacing w:after="50" w:line="264"/>
      </w:pPr>
      <w:r>
        <w:rPr>
          <w:rFonts w:ascii="Calibri" w:cs="Calibri" w:eastAsia="Calibri" w:hAnsi="Calibri"/>
          <w:color w:val="1A1A1A"/>
          <w:sz w:val="22"/>
          <w:szCs w:val="22"/>
        </w:rPr>
        <w:t xml:space="preserve">Items that exist only on MPAI web pages, with no schema, are marked as such and can be hidden.</w:t>
      </w:r>
    </w:p>
    <w:p>
      <w:pPr>
        <w:pStyle w:val="ListParagraph"/>
        <w:numPr>
          <w:ilvl w:val="0"/>
          <w:numId w:val="2"/>
        </w:numPr>
        <w:spacing w:after="50" w:line="264"/>
      </w:pPr>
      <w:r>
        <w:rPr>
          <w:rFonts w:ascii="Calibri" w:cs="Calibri" w:eastAsia="Calibri" w:hAnsi="Calibri"/>
          <w:color w:val="1A1A1A"/>
          <w:sz w:val="22"/>
          <w:szCs w:val="22"/>
        </w:rPr>
        <w:t xml:space="preserve">The home page says when the MKG was built and from which version of the repository.</w:t>
      </w:r>
    </w:p>
    <w:sectPr>
      <w:footerReference w:type="default" r:id="rId6"/>
      <w:pgSz w:w="11906" w:h="16838" w:orient="portrait"/>
      <w:pgMar w:top="960" w:right="1134" w:bottom="96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MPAI Knowledge Graph - Compact User Guide - 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MPAI Knowledge Graph (MKG) - Compact User Guide</dc:title>
  <dc:creator>MPAI</dc:creator>
  <cp:lastModifiedBy>Un-named</cp:lastModifiedBy>
  <cp:revision>1</cp:revision>
  <dcterms:created xsi:type="dcterms:W3CDTF">2026-10-10T16:45:33.301Z</dcterms:created>
  <dcterms:modified xsi:type="dcterms:W3CDTF">2026-10-10T16:45:33.302Z</dcterms:modified>
</cp:coreProperties>
</file>

<file path=docProps/custom.xml><?xml version="1.0" encoding="utf-8"?>
<Properties xmlns="http://schemas.openxmlformats.org/officeDocument/2006/custom-properties" xmlns:vt="http://schemas.openxmlformats.org/officeDocument/2006/docPropsVTypes"/>
</file>