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263E" w14:textId="77777777" w:rsidR="00B949EB" w:rsidRPr="00B949EB" w:rsidRDefault="00B949EB" w:rsidP="00B949EB">
      <w:pPr>
        <w:jc w:val="center"/>
        <w:rPr>
          <w:u w:val="single"/>
        </w:rPr>
      </w:pPr>
      <w:r w:rsidRPr="00B949EB">
        <w:rPr>
          <w:b/>
          <w:bCs/>
          <w:u w:val="single"/>
        </w:rPr>
        <w:t>Decisão Arquitetural para o Sistema de Controle de Caixa</w:t>
      </w:r>
    </w:p>
    <w:p w14:paraId="38C29505" w14:textId="77777777" w:rsidR="00B949EB" w:rsidRDefault="00B949EB" w:rsidP="00B949EB">
      <w:pPr>
        <w:rPr>
          <w:b/>
          <w:bCs/>
        </w:rPr>
      </w:pPr>
    </w:p>
    <w:p w14:paraId="16ACBD77" w14:textId="2B6ABC32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1. Introdução</w:t>
      </w:r>
    </w:p>
    <w:p w14:paraId="7BED46C2" w14:textId="2EDBDC10" w:rsidR="00B949EB" w:rsidRPr="00B949EB" w:rsidRDefault="00B949EB" w:rsidP="00B949EB">
      <w:r w:rsidRPr="00B949EB">
        <w:t xml:space="preserve">O desenvolvimento de um sistema de controle de fluxo de caixa para um comerciante exige uma solução que seja confiável, escalável e resiliente. Neste contexto, optamos por uma abordagem baseada em arquitetura </w:t>
      </w:r>
      <w:r w:rsidRPr="00B949EB">
        <w:rPr>
          <w:b/>
          <w:bCs/>
        </w:rPr>
        <w:t>Clean Architecture</w:t>
      </w:r>
      <w:r w:rsidRPr="00B949EB">
        <w:t xml:space="preserve"> combinada com padrões de microsserviços, utilizando </w:t>
      </w:r>
      <w:r w:rsidRPr="00B949EB">
        <w:rPr>
          <w:b/>
          <w:bCs/>
        </w:rPr>
        <w:t>MongoDB</w:t>
      </w:r>
      <w:r>
        <w:rPr>
          <w:b/>
          <w:bCs/>
        </w:rPr>
        <w:t xml:space="preserve"> </w:t>
      </w:r>
      <w:r w:rsidRPr="00B949EB">
        <w:rPr>
          <w:b/>
          <w:bCs/>
        </w:rPr>
        <w:t>e o Polly</w:t>
      </w:r>
      <w:r w:rsidRPr="00B949EB">
        <w:t xml:space="preserve"> para garantir robustez contra falhas. Este documento detalha as decisões arquiteturais e técnicas tomadas para atender aos requisitos funcionais e não funcionais do projeto.</w:t>
      </w:r>
    </w:p>
    <w:p w14:paraId="29548B24" w14:textId="77777777" w:rsidR="00B949EB" w:rsidRDefault="00B949EB" w:rsidP="00B949EB">
      <w:pPr>
        <w:rPr>
          <w:b/>
          <w:bCs/>
        </w:rPr>
      </w:pPr>
    </w:p>
    <w:p w14:paraId="58C07A16" w14:textId="2A7017FA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2. Escolha da Arquitetura</w:t>
      </w:r>
    </w:p>
    <w:p w14:paraId="6B187056" w14:textId="77777777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Clean Architecture</w:t>
      </w:r>
    </w:p>
    <w:p w14:paraId="239A84FC" w14:textId="77777777" w:rsidR="00B949EB" w:rsidRPr="00B949EB" w:rsidRDefault="00B949EB" w:rsidP="00B949EB">
      <w:r w:rsidRPr="00B949EB">
        <w:t xml:space="preserve">A escolha pela </w:t>
      </w:r>
      <w:r w:rsidRPr="00B949EB">
        <w:rPr>
          <w:b/>
          <w:bCs/>
        </w:rPr>
        <w:t>Clean Architecture</w:t>
      </w:r>
      <w:r w:rsidRPr="00B949EB">
        <w:t xml:space="preserve"> foi motivada pela necessidade de modularização, separação de responsabilidades e testabilidade do sistema. Esta abordagem permite:</w:t>
      </w:r>
    </w:p>
    <w:p w14:paraId="79EC8731" w14:textId="77777777" w:rsidR="00B949EB" w:rsidRPr="00B949EB" w:rsidRDefault="00B949EB" w:rsidP="00B949EB">
      <w:pPr>
        <w:numPr>
          <w:ilvl w:val="0"/>
          <w:numId w:val="1"/>
        </w:numPr>
      </w:pPr>
      <w:r w:rsidRPr="00B949EB">
        <w:t>Independência das camadas de infraestrutura e framework.</w:t>
      </w:r>
    </w:p>
    <w:p w14:paraId="020B663B" w14:textId="77777777" w:rsidR="00B949EB" w:rsidRPr="00B949EB" w:rsidRDefault="00B949EB" w:rsidP="00B949EB">
      <w:pPr>
        <w:numPr>
          <w:ilvl w:val="0"/>
          <w:numId w:val="1"/>
        </w:numPr>
      </w:pPr>
      <w:r w:rsidRPr="00B949EB">
        <w:t>Facilidade na manutenção e extensão do sistema.</w:t>
      </w:r>
    </w:p>
    <w:p w14:paraId="0A5D89A1" w14:textId="77777777" w:rsidR="00B949EB" w:rsidRPr="00B949EB" w:rsidRDefault="00B949EB" w:rsidP="00B949EB">
      <w:pPr>
        <w:numPr>
          <w:ilvl w:val="0"/>
          <w:numId w:val="1"/>
        </w:numPr>
      </w:pPr>
      <w:r w:rsidRPr="00B949EB">
        <w:t>Reutilização de código e padronização das dependências.</w:t>
      </w:r>
    </w:p>
    <w:p w14:paraId="41758EB4" w14:textId="77777777" w:rsidR="00B949EB" w:rsidRPr="00B949EB" w:rsidRDefault="00B949EB" w:rsidP="00B949EB">
      <w:r w:rsidRPr="00B949EB">
        <w:t>A estrutura do projeto está dividida em quatro camadas principais:</w:t>
      </w:r>
    </w:p>
    <w:p w14:paraId="55F0561D" w14:textId="77777777" w:rsidR="00B949EB" w:rsidRPr="00B949EB" w:rsidRDefault="00B949EB" w:rsidP="00B949EB">
      <w:pPr>
        <w:numPr>
          <w:ilvl w:val="0"/>
          <w:numId w:val="2"/>
        </w:numPr>
      </w:pPr>
      <w:r w:rsidRPr="00B949EB">
        <w:rPr>
          <w:b/>
          <w:bCs/>
        </w:rPr>
        <w:t>Domain</w:t>
      </w:r>
      <w:r w:rsidRPr="00B949EB">
        <w:t>: Contém as entidades e regras de negócio puras.</w:t>
      </w:r>
    </w:p>
    <w:p w14:paraId="00247313" w14:textId="77777777" w:rsidR="00B949EB" w:rsidRPr="00B949EB" w:rsidRDefault="00B949EB" w:rsidP="00B949EB">
      <w:pPr>
        <w:numPr>
          <w:ilvl w:val="0"/>
          <w:numId w:val="2"/>
        </w:numPr>
      </w:pPr>
      <w:r w:rsidRPr="00B949EB">
        <w:rPr>
          <w:b/>
          <w:bCs/>
        </w:rPr>
        <w:t>Application</w:t>
      </w:r>
      <w:r w:rsidRPr="00B949EB">
        <w:t>: Implementa os casos de uso e intermedia as interações entre domain e infraestrutura.</w:t>
      </w:r>
    </w:p>
    <w:p w14:paraId="115F5FE5" w14:textId="5D26C2C8" w:rsidR="00B949EB" w:rsidRPr="00B949EB" w:rsidRDefault="00B949EB" w:rsidP="00B949EB">
      <w:pPr>
        <w:numPr>
          <w:ilvl w:val="0"/>
          <w:numId w:val="2"/>
        </w:numPr>
      </w:pPr>
      <w:r w:rsidRPr="00B949EB">
        <w:rPr>
          <w:b/>
          <w:bCs/>
        </w:rPr>
        <w:t>Infrastructure</w:t>
      </w:r>
      <w:r w:rsidRPr="00B949EB">
        <w:t>: Gerencia acessos a dados</w:t>
      </w:r>
    </w:p>
    <w:p w14:paraId="12EE8C51" w14:textId="77777777" w:rsidR="00B949EB" w:rsidRPr="00B949EB" w:rsidRDefault="00B949EB" w:rsidP="00B949EB">
      <w:pPr>
        <w:numPr>
          <w:ilvl w:val="0"/>
          <w:numId w:val="2"/>
        </w:numPr>
      </w:pPr>
      <w:r w:rsidRPr="00B949EB">
        <w:rPr>
          <w:b/>
          <w:bCs/>
        </w:rPr>
        <w:t>Presentation</w:t>
      </w:r>
      <w:r w:rsidRPr="00B949EB">
        <w:t>: Expõe as APIs para interação com o sistema.</w:t>
      </w:r>
    </w:p>
    <w:p w14:paraId="6489C324" w14:textId="77777777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Uso de Microsserviços</w:t>
      </w:r>
    </w:p>
    <w:p w14:paraId="14102590" w14:textId="77777777" w:rsidR="00B949EB" w:rsidRPr="00B949EB" w:rsidRDefault="00B949EB" w:rsidP="00B949EB">
      <w:r w:rsidRPr="00B949EB">
        <w:t>O sistema foi segmentado em dois serviços principais:</w:t>
      </w:r>
    </w:p>
    <w:p w14:paraId="4A7DB711" w14:textId="77777777" w:rsidR="00B949EB" w:rsidRPr="00B949EB" w:rsidRDefault="00B949EB" w:rsidP="00B949EB">
      <w:pPr>
        <w:numPr>
          <w:ilvl w:val="0"/>
          <w:numId w:val="3"/>
        </w:numPr>
      </w:pPr>
      <w:r w:rsidRPr="00B949EB">
        <w:rPr>
          <w:b/>
          <w:bCs/>
        </w:rPr>
        <w:t>Serviço de Transações</w:t>
      </w:r>
      <w:r w:rsidRPr="00B949EB">
        <w:t>: Responsável por processar e armazenar transações de débito e crédito.</w:t>
      </w:r>
    </w:p>
    <w:p w14:paraId="53E4D207" w14:textId="77777777" w:rsidR="00B949EB" w:rsidRPr="00B949EB" w:rsidRDefault="00B949EB" w:rsidP="00B949EB">
      <w:pPr>
        <w:numPr>
          <w:ilvl w:val="0"/>
          <w:numId w:val="3"/>
        </w:numPr>
      </w:pPr>
      <w:r w:rsidRPr="00B949EB">
        <w:rPr>
          <w:b/>
          <w:bCs/>
        </w:rPr>
        <w:t>Serviço de Consolidação</w:t>
      </w:r>
      <w:r w:rsidRPr="00B949EB">
        <w:t>: Responsável por calcular o saldo consolidado diário com tolerância a falhas.</w:t>
      </w:r>
    </w:p>
    <w:p w14:paraId="0C5A41FE" w14:textId="77777777" w:rsidR="00B949EB" w:rsidRPr="00B949EB" w:rsidRDefault="00B949EB" w:rsidP="00B949EB">
      <w:r w:rsidRPr="00B949EB">
        <w:lastRenderedPageBreak/>
        <w:t>Essa separação permite escalabilidade independente de cada componente e garante que o serviço de transações continue funcionando mesmo que o serviço de consolidação apresente problemas.</w:t>
      </w:r>
    </w:p>
    <w:p w14:paraId="3822CF1B" w14:textId="77777777" w:rsidR="00B949EB" w:rsidRDefault="00B949EB" w:rsidP="00B949EB">
      <w:pPr>
        <w:rPr>
          <w:b/>
          <w:bCs/>
        </w:rPr>
      </w:pPr>
    </w:p>
    <w:p w14:paraId="7DA272E1" w14:textId="23E58B6E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3. Atendimento aos Requisitos de Resiliência e Disponibilidade</w:t>
      </w:r>
    </w:p>
    <w:p w14:paraId="5C1E1820" w14:textId="77777777" w:rsidR="00B949EB" w:rsidRPr="00B949EB" w:rsidRDefault="00B949EB" w:rsidP="00B949EB">
      <w:r w:rsidRPr="00B949EB">
        <w:t>Para garantir que o sistema continue operando mesmo diante de falhas, foram adotadas as seguintes estratégias:</w:t>
      </w:r>
    </w:p>
    <w:p w14:paraId="09905D2B" w14:textId="77777777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Uso do Polly para Resiliência</w:t>
      </w:r>
    </w:p>
    <w:p w14:paraId="0252F06C" w14:textId="77777777" w:rsidR="00B949EB" w:rsidRPr="00B949EB" w:rsidRDefault="00B949EB" w:rsidP="00B949EB">
      <w:r w:rsidRPr="00B949EB">
        <w:t xml:space="preserve">O </w:t>
      </w:r>
      <w:r w:rsidRPr="00B949EB">
        <w:rPr>
          <w:b/>
          <w:bCs/>
        </w:rPr>
        <w:t>Polly</w:t>
      </w:r>
      <w:r w:rsidRPr="00B949EB">
        <w:t xml:space="preserve"> foi utilizado para implementar </w:t>
      </w:r>
      <w:r w:rsidRPr="00B949EB">
        <w:rPr>
          <w:b/>
          <w:bCs/>
        </w:rPr>
        <w:t>Circuit Breaker</w:t>
      </w:r>
      <w:r w:rsidRPr="00B949EB">
        <w:t xml:space="preserve"> e </w:t>
      </w:r>
      <w:r w:rsidRPr="00B949EB">
        <w:rPr>
          <w:b/>
          <w:bCs/>
        </w:rPr>
        <w:t>Retry Pattern</w:t>
      </w:r>
      <w:r w:rsidRPr="00B949EB">
        <w:t>, permitindo a recuperação de falhas transitórias e prevenindo o overload de serviços falhos.</w:t>
      </w:r>
    </w:p>
    <w:p w14:paraId="5F4F443A" w14:textId="77777777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Garantia de Operacionalidade Mesmo em Caso de Falha</w:t>
      </w:r>
    </w:p>
    <w:p w14:paraId="7EF93F0F" w14:textId="77777777" w:rsidR="00B949EB" w:rsidRPr="00B949EB" w:rsidRDefault="00B949EB" w:rsidP="00B949EB">
      <w:r w:rsidRPr="00B949EB">
        <w:t xml:space="preserve">Para atender ao requisito não funcional de </w:t>
      </w:r>
      <w:r w:rsidRPr="00B949EB">
        <w:rPr>
          <w:b/>
          <w:bCs/>
        </w:rPr>
        <w:t>garantir que o serviço de controle de transação continue operando mesmo se o serviço de consolidação falhar</w:t>
      </w:r>
      <w:r w:rsidRPr="00B949EB">
        <w:t>, aplicamos as seguintes abordagens:</w:t>
      </w:r>
    </w:p>
    <w:p w14:paraId="5B7BD81A" w14:textId="77777777" w:rsidR="00B949EB" w:rsidRPr="00B949EB" w:rsidRDefault="00B949EB" w:rsidP="00B949EB">
      <w:pPr>
        <w:numPr>
          <w:ilvl w:val="0"/>
          <w:numId w:val="4"/>
        </w:numPr>
      </w:pPr>
      <w:r w:rsidRPr="00B949EB">
        <w:rPr>
          <w:b/>
          <w:bCs/>
        </w:rPr>
        <w:t>Banco de Dados NoSQL (MongoDB)</w:t>
      </w:r>
      <w:r w:rsidRPr="00B949EB">
        <w:t>:</w:t>
      </w:r>
    </w:p>
    <w:p w14:paraId="391E3E54" w14:textId="77777777" w:rsidR="00B949EB" w:rsidRDefault="00B949EB" w:rsidP="00B949EB">
      <w:pPr>
        <w:numPr>
          <w:ilvl w:val="1"/>
          <w:numId w:val="4"/>
        </w:numPr>
      </w:pPr>
      <w:r w:rsidRPr="00B949EB">
        <w:t>Utilizamos MongoDB para armazenar as transações devido à sua capacidade de escalar horizontalmente e sua flexibilidade para armazenar diferentes tipos de transações sem necessidade de esquemas rígidos.</w:t>
      </w:r>
    </w:p>
    <w:p w14:paraId="5CB3C4DA" w14:textId="77777777" w:rsidR="00B949EB" w:rsidRPr="00B949EB" w:rsidRDefault="00B949EB" w:rsidP="00B949EB">
      <w:pPr>
        <w:ind w:left="1440"/>
      </w:pPr>
    </w:p>
    <w:p w14:paraId="1FC22F2E" w14:textId="72E39EDB" w:rsidR="00B949EB" w:rsidRPr="00B949EB" w:rsidRDefault="00B949EB" w:rsidP="00B949EB">
      <w:pPr>
        <w:numPr>
          <w:ilvl w:val="0"/>
          <w:numId w:val="4"/>
        </w:numPr>
      </w:pPr>
      <w:r>
        <w:rPr>
          <w:b/>
          <w:bCs/>
        </w:rPr>
        <w:t>Minimal Api</w:t>
      </w:r>
      <w:r w:rsidRPr="00B949EB">
        <w:t>:</w:t>
      </w:r>
    </w:p>
    <w:p w14:paraId="34B2E2F4" w14:textId="13B10512" w:rsidR="00B949EB" w:rsidRPr="00B949EB" w:rsidRDefault="00B949EB" w:rsidP="00B949EB">
      <w:pPr>
        <w:numPr>
          <w:ilvl w:val="1"/>
          <w:numId w:val="4"/>
        </w:numPr>
      </w:pPr>
      <w:r w:rsidRPr="00B949EB">
        <w:rPr>
          <w:b/>
          <w:bCs/>
        </w:rPr>
        <w:t>Leveza para Microservices</w:t>
      </w:r>
      <w:r w:rsidRPr="00B949EB">
        <w:t xml:space="preserve">: Para serviços pequenos, independentes e de alto desempenho (como microservices), uma Minimal API é uma excelente escolha, pois oferece uma maneira eficiente e simplificada de construir APIs de baixo custo e fácil escalabilidade. </w:t>
      </w:r>
    </w:p>
    <w:p w14:paraId="7C714071" w14:textId="4E0C7FA2" w:rsidR="00B949EB" w:rsidRDefault="00B949EB" w:rsidP="00B949EB">
      <w:pPr>
        <w:numPr>
          <w:ilvl w:val="1"/>
          <w:numId w:val="4"/>
        </w:numPr>
        <w:rPr>
          <w:b/>
          <w:bCs/>
        </w:rPr>
      </w:pPr>
      <w:r w:rsidRPr="00B949EB">
        <w:t>Cenários com menor complexidade: Se sua aplicação não precisa de grandes funcionalidades, como autenticação complexa ou validação extensiva, as Minimal APIs são ideais, pois elas focam no essencial sem sobrecarregar o código</w:t>
      </w:r>
    </w:p>
    <w:p w14:paraId="1C34F215" w14:textId="77777777" w:rsidR="00B949EB" w:rsidRDefault="00B949EB" w:rsidP="00B949EB">
      <w:pPr>
        <w:rPr>
          <w:b/>
          <w:bCs/>
        </w:rPr>
      </w:pPr>
    </w:p>
    <w:p w14:paraId="1635FE1C" w14:textId="77777777" w:rsidR="00B949EB" w:rsidRDefault="00B949EB" w:rsidP="00B949EB">
      <w:pPr>
        <w:rPr>
          <w:b/>
          <w:bCs/>
        </w:rPr>
      </w:pPr>
    </w:p>
    <w:p w14:paraId="66B89FD0" w14:textId="77777777" w:rsidR="00B949EB" w:rsidRDefault="00B949EB" w:rsidP="00B949EB">
      <w:pPr>
        <w:rPr>
          <w:b/>
          <w:bCs/>
        </w:rPr>
      </w:pPr>
    </w:p>
    <w:p w14:paraId="5849F109" w14:textId="46EBFF94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lastRenderedPageBreak/>
        <w:t>4. Segurança e Boas Práticas</w:t>
      </w:r>
    </w:p>
    <w:p w14:paraId="27B0BBEA" w14:textId="77777777" w:rsidR="00B949EB" w:rsidRPr="00B949EB" w:rsidRDefault="00B949EB" w:rsidP="00B949EB">
      <w:r w:rsidRPr="00B949EB">
        <w:t>Para garantir a segurança do sistema, adotamos as seguintes medidas:</w:t>
      </w:r>
    </w:p>
    <w:p w14:paraId="4225CB16" w14:textId="77777777" w:rsidR="00B949EB" w:rsidRPr="00B949EB" w:rsidRDefault="00B949EB" w:rsidP="00B949EB">
      <w:pPr>
        <w:numPr>
          <w:ilvl w:val="0"/>
          <w:numId w:val="5"/>
        </w:numPr>
      </w:pPr>
      <w:r w:rsidRPr="00B949EB">
        <w:rPr>
          <w:b/>
          <w:bCs/>
        </w:rPr>
        <w:t>Autenticação e Autorizção</w:t>
      </w:r>
      <w:r w:rsidRPr="00B949EB">
        <w:t xml:space="preserve">: Utilizamos </w:t>
      </w:r>
      <w:r w:rsidRPr="00B949EB">
        <w:rPr>
          <w:b/>
          <w:bCs/>
        </w:rPr>
        <w:t>JWT (JSON Web Token)</w:t>
      </w:r>
      <w:r w:rsidRPr="00B949EB">
        <w:t xml:space="preserve"> para autenticar as requisições.</w:t>
      </w:r>
    </w:p>
    <w:p w14:paraId="3EECE4FB" w14:textId="77777777" w:rsidR="00B949EB" w:rsidRPr="00B949EB" w:rsidRDefault="00B949EB" w:rsidP="00B949EB">
      <w:pPr>
        <w:numPr>
          <w:ilvl w:val="0"/>
          <w:numId w:val="5"/>
        </w:numPr>
      </w:pPr>
      <w:r w:rsidRPr="00B949EB">
        <w:rPr>
          <w:b/>
          <w:bCs/>
        </w:rPr>
        <w:t>Proteção contra ataques</w:t>
      </w:r>
      <w:r w:rsidRPr="00B949EB">
        <w:t xml:space="preserve">: Configurações para evitar </w:t>
      </w:r>
      <w:r w:rsidRPr="00B949EB">
        <w:rPr>
          <w:b/>
          <w:bCs/>
        </w:rPr>
        <w:t>SQL Injection</w:t>
      </w:r>
      <w:r w:rsidRPr="00B949EB">
        <w:t xml:space="preserve">, </w:t>
      </w:r>
      <w:r w:rsidRPr="00B949EB">
        <w:rPr>
          <w:b/>
          <w:bCs/>
        </w:rPr>
        <w:t>Cross-Site Scripting (XSS)</w:t>
      </w:r>
      <w:r w:rsidRPr="00B949EB">
        <w:t xml:space="preserve"> e </w:t>
      </w:r>
      <w:r w:rsidRPr="00B949EB">
        <w:rPr>
          <w:b/>
          <w:bCs/>
        </w:rPr>
        <w:t>Cross-Origin Resource Sharing (CORS)</w:t>
      </w:r>
      <w:r w:rsidRPr="00B949EB">
        <w:t>.</w:t>
      </w:r>
    </w:p>
    <w:p w14:paraId="1BD05F52" w14:textId="77777777" w:rsidR="00B949EB" w:rsidRDefault="00B949EB" w:rsidP="00B949EB">
      <w:pPr>
        <w:rPr>
          <w:b/>
          <w:bCs/>
        </w:rPr>
      </w:pPr>
    </w:p>
    <w:p w14:paraId="633D4CE4" w14:textId="53D7E09A" w:rsidR="00B949EB" w:rsidRPr="00B949EB" w:rsidRDefault="00B949EB" w:rsidP="00B949EB">
      <w:pPr>
        <w:rPr>
          <w:b/>
          <w:bCs/>
        </w:rPr>
      </w:pPr>
      <w:r w:rsidRPr="00B949EB">
        <w:rPr>
          <w:b/>
          <w:bCs/>
        </w:rPr>
        <w:t>5. Conclusão</w:t>
      </w:r>
    </w:p>
    <w:p w14:paraId="41BBBC2B" w14:textId="43961686" w:rsidR="00B949EB" w:rsidRPr="00B949EB" w:rsidRDefault="00B949EB" w:rsidP="00B949EB">
      <w:r w:rsidRPr="00B949EB">
        <w:t xml:space="preserve">A abordagem adotada equilibra escalabilidade, resiliência e segurança, garantindo um sistema capaz de operar mesmo em cenários adversos. O uso de </w:t>
      </w:r>
      <w:r w:rsidRPr="00B949EB">
        <w:rPr>
          <w:b/>
          <w:bCs/>
        </w:rPr>
        <w:t>Clean Architecture</w:t>
      </w:r>
      <w:r w:rsidRPr="00B949EB">
        <w:t xml:space="preserve"> facilita a manutenção e expansão do sistema, enquanto </w:t>
      </w:r>
      <w:r w:rsidRPr="00B949EB">
        <w:rPr>
          <w:b/>
          <w:bCs/>
        </w:rPr>
        <w:t xml:space="preserve">Polly, </w:t>
      </w:r>
      <w:r w:rsidRPr="00B949EB">
        <w:t>proporcionam resiliência e disponibilidade. O resultado é um sistema robusto e pronto para lidar com picos de acessos e falhas sem comprometer sua operação principal.</w:t>
      </w:r>
    </w:p>
    <w:p w14:paraId="4BAD0111" w14:textId="77777777" w:rsidR="00B949EB" w:rsidRDefault="00B949EB"/>
    <w:sectPr w:rsidR="00B949EB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5670C" w14:textId="77777777" w:rsidR="00E60754" w:rsidRDefault="00E60754" w:rsidP="00B949EB">
      <w:pPr>
        <w:spacing w:after="0" w:line="240" w:lineRule="auto"/>
      </w:pPr>
      <w:r>
        <w:separator/>
      </w:r>
    </w:p>
  </w:endnote>
  <w:endnote w:type="continuationSeparator" w:id="0">
    <w:p w14:paraId="1A4A10FC" w14:textId="77777777" w:rsidR="00E60754" w:rsidRDefault="00E60754" w:rsidP="00B9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0D597" w14:textId="70706FED" w:rsidR="00B949EB" w:rsidRDefault="00B949E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82C552" wp14:editId="4D1C0B6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328336310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1D155" w14:textId="28687735" w:rsidR="00B949EB" w:rsidRPr="00B949EB" w:rsidRDefault="00B949EB" w:rsidP="00B949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49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2C55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Confidencial" style="position:absolute;margin-left:0;margin-top:0;width:167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u18CQIAABYEAAAOAAAAZHJzL2Uyb0RvYy54bWysU8Fu2zAMvQ/YPwi6L3YydFuNOEXWIsOA&#10;oi2QDj0rshwbkESBUmJnXz9KtpOu22nYRaZJ6pF8fFre9Eazo0Lfgi35fJZzpqyEqrX7kv943nz4&#10;wpkPwlZCg1UlPynPb1bv3y07V6gFNKArhYxArC86V/ImBFdkmZeNMsLPwClLwRrQiEC/uM8qFB2h&#10;G50t8vxT1gFWDkEq78l7NwT5KuHXtZLhsa69CkyXnHoL6cR07uKZrZai2KNwTSvHNsQ/dGFEa6no&#10;GepOBMEO2P4BZVqJ4KEOMwkmg7pupUoz0DTz/M0020Y4lWYhcrw70+T/H6x8OG7dE7LQf4WeFhgJ&#10;6ZwvPDnjPH2NJn6pU0ZxovB0pk31gUlyLuaL/DqnkKTYx8/5Ir+KMNnltkMfvikwLBolR1pLYksc&#10;730YUqeUWMzCptU6rUbb3xyEGT3ZpcVohX7Xj33voDrROAjDpr2Tm5Zq3gsfngTSaqlNkmt4pKPW&#10;0JUcRouzBvDn3/wxnxinKGcdSaXklrTMmf5uaRNRVZOBk7FLxvw6v4q82IO5BRLgnN6Ck8kkLwY9&#10;mTWCeSEhr2MhCgkrqVzJd5N5GwbN0kOQar1OSSQgJ8K93ToZoSNPkcTn/kWgG5kOtKMHmHQkijeE&#10;D7nxpnfrQyDa0zYipwORI9UkvrTP8aFEdb/+T1mX57z6BQAA//8DAFBLAwQUAAYACAAAACEA2a42&#10;e9oAAAAEAQAADwAAAGRycy9kb3ducmV2LnhtbEyPwW7CMAyG75N4h8hIu40Usk2oa4oQ0k5Mk4Bd&#10;dguJabs1TtWkUN5+3i7jYunXb33+XKxG34oz9rEJpGE+y0Ag2eAaqjR8HF4fliBiMuRMGwg1XDHC&#10;qpzcFSZ34UI7PO9TJRhCMTca6pS6XMpoa/QmzkKHxN0p9N4kjn0lXW8uDPetXGTZs/SmIb5Qmw43&#10;Ndrv/eA1PO3S2/BOB/U5Lq5f225j1Wlrtb6fjusXEAnH9L8Mv/qsDiU7HcNALopWAz+S/iZ3Sj1y&#10;PDJ4qUCWhbyVL38AAAD//wMAUEsBAi0AFAAGAAgAAAAhALaDOJL+AAAA4QEAABMAAAAAAAAAAAAA&#10;AAAAAAAAAFtDb250ZW50X1R5cGVzXS54bWxQSwECLQAUAAYACAAAACEAOP0h/9YAAACUAQAACwAA&#10;AAAAAAAAAAAAAAAvAQAAX3JlbHMvLnJlbHNQSwECLQAUAAYACAAAACEAJBbtfAkCAAAWBAAADgAA&#10;AAAAAAAAAAAAAAAuAgAAZHJzL2Uyb0RvYy54bWxQSwECLQAUAAYACAAAACEA2a42e9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2C21D155" w14:textId="28687735" w:rsidR="00B949EB" w:rsidRPr="00B949EB" w:rsidRDefault="00B949EB" w:rsidP="00B949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49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C442B" w14:textId="3546F2E8" w:rsidR="00B949EB" w:rsidRDefault="00B949E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1821F" wp14:editId="7E6F87A7">
              <wp:simplePos x="108204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213425277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6CBBA" w14:textId="68E26F44" w:rsidR="00B949EB" w:rsidRPr="00B949EB" w:rsidRDefault="00B949EB" w:rsidP="00B949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49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1821F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Confidencial" style="position:absolute;margin-left:0;margin-top:0;width:167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p/DA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1etL+F6khTIQwL906uWiq9Fj48CqQNU7ek2vBA&#10;R62hKzmcLM4awN//88d8Ip6inHWkmJJbkjRn+qelhURxjQaOxjYZ0+v8KtJj9+YWSIdTehJOJpO8&#10;GPRo1gjmmfS8jIUoJKykciXfjuZtGKRL70Gq5TIlkY6cCGu7cTJCR7oil0/9s0B3IjzQqu5hlJMo&#10;XvE+5Mab3i33gdhPS4nUDkSeGCcNprWe3ksU+cv/lHV51Ys/AAAA//8DAFBLAwQUAAYACAAAACEA&#10;2a42e9oAAAAEAQAADwAAAGRycy9kb3ducmV2LnhtbEyPwW7CMAyG75N4h8hIu40Usk2oa4oQ0k5M&#10;k4BddguJabs1TtWkUN5+3i7jYunXb33+XKxG34oz9rEJpGE+y0Ag2eAaqjR8HF4fliBiMuRMGwg1&#10;XDHCqpzcFSZ34UI7PO9TJRhCMTca6pS6XMpoa/QmzkKHxN0p9N4kjn0lXW8uDPetXGTZs/SmIb5Q&#10;mw43Ndrv/eA1PO3S2/BOB/U5Lq5f225j1Wlrtb6fjusXEAnH9L8Mv/qsDiU7HcNALopWAz+S/iZ3&#10;Sj1yPDJ4qUCWhbyVL38AAAD//wMAUEsBAi0AFAAGAAgAAAAhALaDOJL+AAAA4QEAABMAAAAAAAAA&#10;AAAAAAAAAAAAAFtDb250ZW50X1R5cGVzXS54bWxQSwECLQAUAAYACAAAACEAOP0h/9YAAACUAQAA&#10;CwAAAAAAAAAAAAAAAAAvAQAAX3JlbHMvLnJlbHNQSwECLQAUAAYACAAAACEA7HqKfwwCAAAdBAAA&#10;DgAAAAAAAAAAAAAAAAAuAgAAZHJzL2Uyb0RvYy54bWxQSwECLQAUAAYACAAAACEA2a42e9oAAAAE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BA6CBBA" w14:textId="68E26F44" w:rsidR="00B949EB" w:rsidRPr="00B949EB" w:rsidRDefault="00B949EB" w:rsidP="00B949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49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16D41" w14:textId="69E59490" w:rsidR="00B949EB" w:rsidRDefault="00B949EB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814077" wp14:editId="08F9B3E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120900" cy="370205"/>
              <wp:effectExtent l="0" t="0" r="12700" b="0"/>
              <wp:wrapNone/>
              <wp:docPr id="1531481332" name="Caixa de Texto 1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09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68518" w14:textId="4E5CA104" w:rsidR="00B949EB" w:rsidRPr="00B949EB" w:rsidRDefault="00B949EB" w:rsidP="00B949E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49E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81407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Confidencial" style="position:absolute;margin-left:0;margin-top:0;width:167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05DQIAAB0EAAAOAAAAZHJzL2Uyb0RvYy54bWysU8Fu2zAMvQ/YPwi6L3YydFuNOEXWIsOA&#10;oC2QDj0rshwbkESBUmJnXz9KjpOu26noRaZJ6pF8fJrf9Eazg0Lfgi35dJJzpqyEqrW7kv96Wn36&#10;xpkPwlZCg1UlPyrPbxYfP8w7V6gZNKArhYxArC86V/ImBFdkmZeNMsJPwClLwRrQiEC/uMsqFB2h&#10;G53N8vxL1gFWDkEq78l7NwT5IuHXtZLhoa69CkyXnHoL6cR0buOZLeai2KFwTStPbYg3dGFEa6no&#10;GepOBMH22P4DZVqJ4KEOEwkmg7pupUoz0DTT/NU0m0Y4lWYhcrw70+TfD1beHzbuEVnov0NPC4yE&#10;dM4Xnpxxnr5GE7/UKaM4UXg806b6wCQ5Z9NZfp1TSFLs89d8ll9FmOxy26EPPxQYFo2SI60lsSUO&#10;ax+G1DElFrOwarVOq9H2LwdhRk92aTFaod/2rK2ok7H9LVRHmgphWLh3ctVS6bXw4VEgbZi6JdWG&#10;BzpqDV3J4WRx1gD+/p8/5hPxFOWsI8WU3JKkOdM/LS0kims0cDS2yZhe51eRHrs3t0A6nNKTcDKZ&#10;5MWgR7NGMM+k52UsRCFhJZUr+XY0b8MgXXoPUi2XKYl05ERY242TETrSFbl86p8FuhPhgVZ1D6Oc&#10;RPGK9yE33vRuuQ/EflpKpHYg8sQ4aTCt9fReoshf/qesy6te/AEAAP//AwBQSwMEFAAGAAgAAAAh&#10;ANmuNnvaAAAABAEAAA8AAABkcnMvZG93bnJldi54bWxMj8FuwjAMhu+TeIfISLuNFLJNqGuKENJO&#10;TJOAXXYLiWm7NU7VpFDeft4u42Lp1299/lysRt+KM/axCaRhPstAINngGqo0fBxeH5YgYjLkTBsI&#10;NVwxwqqc3BUmd+FCOzzvUyUYQjE3GuqUulzKaGv0Js5Ch8TdKfTeJI59JV1vLgz3rVxk2bP0piG+&#10;UJsONzXa7/3gNTzt0tvwTgf1OS6uX9tuY9Vpa7W+n47rFxAJx/S/DL/6rA4lOx3DQC6KVgM/kv4m&#10;d0o9cjwyeKlAloW8lS9/AAAA//8DAFBLAQItABQABgAIAAAAIQC2gziS/gAAAOEBAAATAAAAAAAA&#10;AAAAAAAAAAAAAABbQ29udGVudF9UeXBlc10ueG1sUEsBAi0AFAAGAAgAAAAhADj9If/WAAAAlAEA&#10;AAsAAAAAAAAAAAAAAAAALwEAAF9yZWxzLy5yZWxzUEsBAi0AFAAGAAgAAAAhAFu7XTkNAgAAHQQA&#10;AA4AAAAAAAAAAAAAAAAALgIAAGRycy9lMm9Eb2MueG1sUEsBAi0AFAAGAAgAAAAhANmuNnv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2AF68518" w14:textId="4E5CA104" w:rsidR="00B949EB" w:rsidRPr="00B949EB" w:rsidRDefault="00B949EB" w:rsidP="00B949E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49E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E726D" w14:textId="77777777" w:rsidR="00E60754" w:rsidRDefault="00E60754" w:rsidP="00B949EB">
      <w:pPr>
        <w:spacing w:after="0" w:line="240" w:lineRule="auto"/>
      </w:pPr>
      <w:r>
        <w:separator/>
      </w:r>
    </w:p>
  </w:footnote>
  <w:footnote w:type="continuationSeparator" w:id="0">
    <w:p w14:paraId="5DD92A6C" w14:textId="77777777" w:rsidR="00E60754" w:rsidRDefault="00E60754" w:rsidP="00B94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23CFC"/>
    <w:multiLevelType w:val="multilevel"/>
    <w:tmpl w:val="B61E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B07BE"/>
    <w:multiLevelType w:val="multilevel"/>
    <w:tmpl w:val="796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132CB"/>
    <w:multiLevelType w:val="multilevel"/>
    <w:tmpl w:val="B6A0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E27B07"/>
    <w:multiLevelType w:val="multilevel"/>
    <w:tmpl w:val="09F8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F5EFE"/>
    <w:multiLevelType w:val="multilevel"/>
    <w:tmpl w:val="FC0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34193">
    <w:abstractNumId w:val="1"/>
  </w:num>
  <w:num w:numId="2" w16cid:durableId="666329890">
    <w:abstractNumId w:val="2"/>
  </w:num>
  <w:num w:numId="3" w16cid:durableId="1537309879">
    <w:abstractNumId w:val="4"/>
  </w:num>
  <w:num w:numId="4" w16cid:durableId="577709792">
    <w:abstractNumId w:val="3"/>
  </w:num>
  <w:num w:numId="5" w16cid:durableId="15460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EB"/>
    <w:rsid w:val="005B5737"/>
    <w:rsid w:val="00B949EB"/>
    <w:rsid w:val="00E6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3D50"/>
  <w15:chartTrackingRefBased/>
  <w15:docId w15:val="{76B6F53A-4F32-4A39-A73C-72A3A06D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9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9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9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9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9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9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9EB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94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 Silva Francisco</dc:creator>
  <cp:keywords/>
  <dc:description/>
  <cp:lastModifiedBy>Leonardo da Silva Francisco</cp:lastModifiedBy>
  <cp:revision>1</cp:revision>
  <dcterms:created xsi:type="dcterms:W3CDTF">2025-03-13T13:22:00Z</dcterms:created>
  <dcterms:modified xsi:type="dcterms:W3CDTF">2025-03-13T13:31:00Z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5b488cf4,139203b6,cb89c7d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2025-03-13T13:31:38Z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e9b5cd12-0edc-4040-82db-bfee3e1aba27</vt:lpwstr>
  </property>
  <property fmtid="{D5CDD505-2E9C-101B-9397-08002B2CF9AE}" pid="11" name="MSIP_Label_0d036ff2-d88b-432c-828f-f4f8a9460ebf_ContentBits">
    <vt:lpwstr>2</vt:lpwstr>
  </property>
  <property fmtid="{D5CDD505-2E9C-101B-9397-08002B2CF9AE}" pid="12" name="MSIP_Label_0d036ff2-d88b-432c-828f-f4f8a9460ebf_Tag">
    <vt:lpwstr>10, 3, 0, 1</vt:lpwstr>
  </property>
</Properties>
</file>