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09" w:type="dxa"/>
        <w:jc w:val="center"/>
        <w:tblBorders>
          <w:top w:val="nil"/>
          <w:left w:val="nil"/>
          <w:bottom w:val="nil"/>
          <w:right w:val="nil"/>
          <w:insideH w:val="nil"/>
          <w:insideV w:val="nil"/>
        </w:tblBorders>
        <w:tblLayout w:type="fixed"/>
        <w:tblLook w:val="04A0" w:firstRow="1" w:lastRow="0" w:firstColumn="1" w:lastColumn="0" w:noHBand="0" w:noVBand="1"/>
      </w:tblPr>
      <w:tblGrid>
        <w:gridCol w:w="4904"/>
        <w:gridCol w:w="4905"/>
      </w:tblGrid>
      <w:tr w:rsidR="00335172" w14:paraId="1D422BE3" w14:textId="77777777">
        <w:trPr>
          <w:jc w:val="center"/>
        </w:trPr>
        <w:tc>
          <w:tcPr>
            <w:tcW w:w="4904" w:type="dxa"/>
            <w:shd w:val="clear" w:color="auto" w:fill="123B63"/>
            <w:tcMar>
              <w:top w:w="55" w:type="dxa"/>
              <w:left w:w="100" w:type="dxa"/>
              <w:bottom w:w="55" w:type="dxa"/>
              <w:right w:w="100" w:type="dxa"/>
            </w:tcMar>
            <w:vAlign w:val="center"/>
          </w:tcPr>
          <w:p w14:paraId="656DAF46" w14:textId="77777777" w:rsidR="00335172" w:rsidRDefault="00000000">
            <w:pPr>
              <w:spacing w:after="0" w:line="240" w:lineRule="auto"/>
              <w:jc w:val="left"/>
            </w:pPr>
            <w:r>
              <w:rPr>
                <w:rFonts w:eastAsia="Arial" w:cs="Arial"/>
                <w:b/>
                <w:color w:val="FFFFFF"/>
                <w:sz w:val="16"/>
              </w:rPr>
              <w:t>RESEARCH ARTICLE</w:t>
            </w:r>
          </w:p>
        </w:tc>
        <w:tc>
          <w:tcPr>
            <w:tcW w:w="4904" w:type="dxa"/>
            <w:shd w:val="clear" w:color="auto" w:fill="123B63"/>
            <w:tcMar>
              <w:top w:w="55" w:type="dxa"/>
              <w:left w:w="100" w:type="dxa"/>
              <w:bottom w:w="55" w:type="dxa"/>
              <w:right w:w="100" w:type="dxa"/>
            </w:tcMar>
            <w:vAlign w:val="center"/>
          </w:tcPr>
          <w:p w14:paraId="3BEA0EAF" w14:textId="77777777" w:rsidR="00335172" w:rsidRDefault="00335172">
            <w:pPr>
              <w:spacing w:after="0" w:line="240" w:lineRule="auto"/>
            </w:pPr>
          </w:p>
        </w:tc>
      </w:tr>
    </w:tbl>
    <w:p w14:paraId="0E9A74EA" w14:textId="77777777" w:rsidR="00335172" w:rsidRDefault="00000000">
      <w:pPr>
        <w:pStyle w:val="PaperTitle"/>
        <w:spacing w:before="0" w:after="160" w:line="252" w:lineRule="auto"/>
      </w:pPr>
      <w:r>
        <w:rPr>
          <w:rFonts w:eastAsia="Arial" w:cs="Arial"/>
        </w:rPr>
        <w:t>Leakage-Controlled Multi-Horizon Direction Forecasting of XAUUSD: An Evaluation of Hurst-Based Regime Features</w:t>
      </w:r>
    </w:p>
    <w:p w14:paraId="5683F97E" w14:textId="77777777" w:rsidR="00335172" w:rsidRDefault="00000000">
      <w:pPr>
        <w:pStyle w:val="AuthorLine"/>
        <w:spacing w:line="252" w:lineRule="auto"/>
      </w:pPr>
      <w:r>
        <w:rPr>
          <w:rFonts w:eastAsia="Arial" w:cs="Arial"/>
          <w:color w:val="000000"/>
        </w:rPr>
        <w:t>Jalil Ahmad Afshar and Ehsan Aryanfar</w:t>
      </w:r>
    </w:p>
    <w:p w14:paraId="2007315D" w14:textId="77777777" w:rsidR="00335172" w:rsidRDefault="00000000">
      <w:pPr>
        <w:pStyle w:val="Affiliation"/>
        <w:spacing w:after="20" w:line="252" w:lineRule="auto"/>
      </w:pPr>
      <w:r>
        <w:t>Department of Computer Engineering, Khorasan Institute of Higher Education, Iran</w:t>
      </w:r>
    </w:p>
    <w:p w14:paraId="4EFD876A" w14:textId="77777777" w:rsidR="00335172" w:rsidRDefault="00000000">
      <w:pPr>
        <w:pStyle w:val="Affiliation"/>
        <w:spacing w:after="80"/>
      </w:pPr>
      <w:r>
        <w:rPr>
          <w:b/>
          <w:sz w:val="21"/>
        </w:rPr>
        <w:t xml:space="preserve">Academic Supervisor: </w:t>
      </w:r>
      <w:r>
        <w:rPr>
          <w:sz w:val="21"/>
        </w:rPr>
        <w:t>Mahboubeh Fattahi</w:t>
      </w:r>
    </w:p>
    <w:tbl>
      <w:tblPr>
        <w:tblW w:w="9809" w:type="dxa"/>
        <w:jc w:val="center"/>
        <w:tblBorders>
          <w:top w:val="single" w:sz="7" w:space="0" w:color="123B63"/>
          <w:left w:val="single" w:sz="7" w:space="0" w:color="123B63"/>
          <w:bottom w:val="single" w:sz="7" w:space="0" w:color="123B63"/>
          <w:right w:val="single" w:sz="7" w:space="0" w:color="123B63"/>
        </w:tblBorders>
        <w:tblLayout w:type="fixed"/>
        <w:tblLook w:val="04A0" w:firstRow="1" w:lastRow="0" w:firstColumn="1" w:lastColumn="0" w:noHBand="0" w:noVBand="1"/>
      </w:tblPr>
      <w:tblGrid>
        <w:gridCol w:w="9809"/>
      </w:tblGrid>
      <w:tr w:rsidR="00335172" w14:paraId="07719F29" w14:textId="77777777">
        <w:trPr>
          <w:jc w:val="center"/>
        </w:trPr>
        <w:tc>
          <w:tcPr>
            <w:tcW w:w="9809" w:type="dxa"/>
            <w:shd w:val="clear" w:color="auto" w:fill="F8FAFC"/>
            <w:tcMar>
              <w:top w:w="105" w:type="dxa"/>
              <w:left w:w="130" w:type="dxa"/>
              <w:bottom w:w="105" w:type="dxa"/>
              <w:right w:w="130" w:type="dxa"/>
            </w:tcMar>
            <w:vAlign w:val="center"/>
          </w:tcPr>
          <w:p w14:paraId="6F40C40C" w14:textId="77777777" w:rsidR="00335172" w:rsidRDefault="00000000">
            <w:pPr>
              <w:spacing w:after="0" w:line="240" w:lineRule="auto"/>
              <w:jc w:val="left"/>
            </w:pPr>
            <w:r>
              <w:rPr>
                <w:rFonts w:eastAsia="Arial" w:cs="Arial"/>
                <w:b/>
                <w:color w:val="000000"/>
                <w:sz w:val="16"/>
              </w:rPr>
              <w:t>Abstract</w:t>
            </w:r>
          </w:p>
          <w:p w14:paraId="22ADF8B2" w14:textId="77777777" w:rsidR="00335172" w:rsidRDefault="00000000">
            <w:pPr>
              <w:spacing w:after="0" w:line="240" w:lineRule="auto"/>
            </w:pPr>
            <w:r>
              <w:rPr>
                <w:sz w:val="16"/>
              </w:rPr>
              <w:t>Gold direction forecasts are often assessed using the best observed accuracy or random cross-validation, making claims about the incremental value of individual features difficult to interpret. This study examines whether causal Hurst-based regime features provide stable predictive value for multi-horizon XAUUSD direction forecasting within a fixed machine-learning pipeline. The dataset comprises 4,017 daily XAUUSD observations from MetaQuotes-Demo spanning 3 January 2011 to 31 July 2026. Four forecast horizons (1, 5, 10, and 20 days) are evaluated using a locked historical boundary of 3 July 2023, purged walk-forward splits, and development-only model and threshold selection. Hurst features are computed causally using first-order detrended fluctuation analysis over 64- and 128-day windows and are compared with both a no-Hurst baseline and a robust regime representation. In the previously observed historical holdout, balanced accuracy ranged from 50.38% to 52.19%, and all four pre-specified decisions were rejected. The 12-trial ablation likewise showed no stable advantage from Hurst features; the highest point estimate was 52.03% balanced accuracy for the no-Hurst arm at the one-day horizon. A subsequent audit identified incomplete overlap removal between a secondary calibration interval and the evaluation interval in all 60 outer selections, with sigmoid calibration selected 26 times. Consequently, the ablation results are reported as descriptive development evidence rather than confirmatory leakage-free estimates. Although 82 automated tests passed, technical quality assurance does not establish statistical or economic validity. Given these data and this evaluation protocol, the results do not support stable directional skill, incremental predictive value from Hurst features, or trading profitability. The study contributes an auditable negative result and a reproducible evaluation framework.</w:t>
            </w:r>
          </w:p>
          <w:p w14:paraId="072A93B8" w14:textId="77777777" w:rsidR="00335172" w:rsidRDefault="00000000">
            <w:pPr>
              <w:spacing w:after="0" w:line="240" w:lineRule="auto"/>
              <w:jc w:val="left"/>
            </w:pPr>
            <w:r>
              <w:rPr>
                <w:b/>
                <w:sz w:val="16"/>
              </w:rPr>
              <w:t xml:space="preserve">Keywords: </w:t>
            </w:r>
            <w:r>
              <w:rPr>
                <w:sz w:val="16"/>
              </w:rPr>
              <w:t>XAUUSD; gold direction forecasting; Hurst exponent; detrended fluctuation analysis; purged walk-forward validation; machine learning; reproducibility</w:t>
            </w:r>
          </w:p>
        </w:tc>
      </w:tr>
    </w:tbl>
    <w:p w14:paraId="2CF3ACE8" w14:textId="77777777" w:rsidR="00335172" w:rsidRDefault="00000000">
      <w:pPr>
        <w:pStyle w:val="Heading1"/>
        <w:spacing w:before="320" w:after="160"/>
      </w:pPr>
      <w:r>
        <w:rPr>
          <w:rFonts w:ascii="Arial" w:eastAsia="Arial" w:hAnsi="Arial" w:cs="Arial"/>
          <w:sz w:val="24"/>
        </w:rPr>
        <w:t>1. Introduction</w:t>
      </w:r>
    </w:p>
    <w:p w14:paraId="1B3CFEED" w14:textId="77777777" w:rsidR="00335172" w:rsidRDefault="00000000">
      <w:r>
        <w:t>Gold occupies a distinctive position in financial markets: it is traded as an investment asset, used as a store of value, and frequently discussed as a hedge or safe haven during periods of market stress (Baur &amp; Lucey, 2010; Baur &amp; McDermott, 2010). These characteristics make gold forecasting a useful test case for models designed to learn weak and time-varying signals from financial data. Directional forecasting for a liquid instrument is nevertheless demanding because a small apparent improvement may arise from a particular sample, selection rule, data convention, or validation design rather than from a stable relationship in the underlying market.</w:t>
      </w:r>
    </w:p>
    <w:p w14:paraId="0E0C77E2" w14:textId="77777777" w:rsidR="00335172" w:rsidRDefault="00000000">
      <w:r>
        <w:t>The Hurst exponent is an attractive candidate feature because it summarizes persistence or anti-persistence in a time series. Hurst's original work on storage capacity (Hurst, 1951) and the subsequent analysis of rescaled-range robustness by Mandelbrot and Wallis (1969) established the statistic as a measure of dependence across scales. In financial applications, however, a dependence descriptor does not automatically become a directional predictor. A feature may characterize the current regime while providing little information about the sign of a future return, particularly when the regime is short-lived or the estimator is noisy.</w:t>
      </w:r>
    </w:p>
    <w:p w14:paraId="0F5FCBE8" w14:textId="77777777" w:rsidR="00335172" w:rsidRDefault="00000000">
      <w:r>
        <w:t>Machine-learning studies of gold have reported heterogeneous results across data sources, targets, forecast horizons, and performance metrics. Das et al. (2022) review a decade of gold-price forecasting research and document a broad range of methods, while Cohen and Aiche (2023) evaluate machine-learning approaches under a different target and experimental protocol. Yang et al. (2024) provide the closest conceptual precedent for the present study by combining Hurst-related information with machine learning for global gold-price prediction. Their Hurst-reconfiguration framework differs from the rolling Hurst features and regime representations evaluated here; therefore, improvements reported in that setting cannot be transferred directly to daily XAUUSD direction forecasting.</w:t>
      </w:r>
    </w:p>
    <w:p w14:paraId="691E3C99" w14:textId="77777777" w:rsidR="00335172" w:rsidRDefault="00000000">
      <w:r>
        <w:t>The central methodological question is whether Hurst information provides incremental predictive value under a fair comparison. The no-Hurst and Hurst arms must therefore use the same observations, targets, temporal boundaries, candidate models, tuning budget, and decision rules. Evaluation must also respect the information available at each decision time. Random cross-validation can be inappropriate for time-dependent prediction (Bergmeir &amp; Benítez, 2012; Bergmeir et al., 2018), and repeated experimentation may turn a favorable point estimate into a selection artifact (Bailey et al., 2014; López de Prado, 2018).</w:t>
      </w:r>
    </w:p>
    <w:p w14:paraId="4807B810" w14:textId="77777777" w:rsidR="00335172" w:rsidRDefault="00000000">
      <w:r>
        <w:t>This article reports the empirical component of the audited thesis and its frozen repository record. It addresses three research questions. First, do the candidate models provide evidence of stable performance above the reference level? Second, does adding causal Hurst information provide stable incremental value relative to an otherwise identical no-Hurst pipeline? Third, are the available results sufficient to support an economic or trading claim? The analysis reports both the numerical results and the evidence-quality conditions that constrain their interpretation.</w:t>
      </w:r>
    </w:p>
    <w:p w14:paraId="6B2D08AA" w14:textId="77777777" w:rsidR="00335172" w:rsidRDefault="00000000">
      <w:r>
        <w:lastRenderedPageBreak/>
        <w:t>The scope of the contribution is deliberately limited. The study provides a common-calendar, multi-horizon comparison; distinguishes a statistical close-to-close target from an executable next-open target; evaluates two Hurst representations against a no-Hurst control arm; records data and output hashes; and reports a negative result after a scientific audit identified a calibration-boundary defect. Accordingly, the contribution is an auditable evaluation of a plausible feature hypothesis rather than a claim that Hurst-based modeling can reliably forecast or trade gold.</w:t>
      </w:r>
    </w:p>
    <w:p w14:paraId="39B24D35" w14:textId="77777777" w:rsidR="00335172" w:rsidRDefault="00000000">
      <w:pPr>
        <w:pStyle w:val="Heading1"/>
        <w:spacing w:before="320" w:after="160"/>
      </w:pPr>
      <w:r>
        <w:t>2. Literature Review and Research Gap</w:t>
      </w:r>
    </w:p>
    <w:p w14:paraId="0848B004" w14:textId="77777777" w:rsidR="00335172" w:rsidRDefault="00000000">
      <w:pPr>
        <w:pStyle w:val="Heading2"/>
        <w:spacing w:before="240" w:after="120"/>
      </w:pPr>
      <w:r>
        <w:t>2.1 Machine learning for gold forecasting</w:t>
      </w:r>
    </w:p>
    <w:p w14:paraId="6795410C" w14:textId="77777777" w:rsidR="00335172" w:rsidRDefault="00000000">
      <w:r>
        <w:t>Research on gold forecasting has employed regression, classification, neural networks, tree ensembles, and hybrid approaches. Das et al. (2022) show that the literature is methodologically diverse and that reported performance depends on the selected price series, explanatory variables, forecast horizon, and evaluation metric. Cohen and Aiche (2023) likewise examine gold forecasting using machine-learning methods, although their task differs from the binary multi-horizon direction problem considered here. Fischer and Krauss (2018) demonstrate the predictive potential of sequence models in another financial setting; their study also illustrates why architecture, sampling frequency, and evaluation protocol must be considered carefully when results are compared across studies.</w:t>
      </w:r>
    </w:p>
    <w:p w14:paraId="63ED6105" w14:textId="77777777" w:rsidR="00335172" w:rsidRDefault="00000000">
      <w:r>
        <w:t>Yang et al. (2024) provide the closest prior study to the Hurst-based approach examined here. They apply a Hurst-reconfiguration machine-learning framework to gold prices in China, the United Kingdom, and the United States and report improvements relative to conventional models. The present study addresses a narrower and more controlled question: whether causal rolling Hurst information adds predictive value to the same XAUUSD direction pipeline when data splits, model families, and the experimental budget are held constant. The two designs are therefore complementary rather than directly comparable.</w:t>
      </w:r>
    </w:p>
    <w:p w14:paraId="24AFD9BB" w14:textId="77777777" w:rsidR="00335172" w:rsidRDefault="00000000">
      <w:pPr>
        <w:pStyle w:val="Heading2"/>
        <w:spacing w:before="240" w:after="120"/>
      </w:pPr>
      <w:r>
        <w:t>2.2 Hurst exponent and financial predictability</w:t>
      </w:r>
    </w:p>
    <w:p w14:paraId="09409768" w14:textId="77777777" w:rsidR="00335172" w:rsidRDefault="00000000">
      <w:r>
        <w:t>Hurst (1951) introduced the long-term storage-capacity analysis that motivated the exponent, and Mandelbrot and Wallis (1969) later examined the robustness of rescaled-range measurement. Qian and Rasheed (2004) used the Hurst exponent to classify financial series and reported that backpropagation networks predicted series with larger Hurst values more accurately than series with values close to 0.50. This finding motivates a testable hypothesis, but it does not establish that Hurst features improve daily XAUUSD direction forecasts under a common out-of-sample design.</w:t>
      </w:r>
    </w:p>
    <w:p w14:paraId="0DFD144D" w14:textId="77777777" w:rsidR="00335172" w:rsidRDefault="00000000">
      <w:r>
        <w:t>In the present study, the first-order detrended fluctuation analysis (DFA1) estimator follows the long-range-correlation framework described by Kantelhardt et al. (2001). The estimator is used as a causal regime descriptor rather than as a hard rule that treats H &gt; 0.5 as an upward signal. This distinction is important because persistence in a price or return process can coexist with a weak or unstable relationship to the sign of a future return.</w:t>
      </w:r>
    </w:p>
    <w:p w14:paraId="41008532" w14:textId="77777777" w:rsidR="00335172" w:rsidRDefault="00000000">
      <w:pPr>
        <w:pStyle w:val="Heading2"/>
        <w:spacing w:before="240" w:after="120"/>
      </w:pPr>
      <w:r>
        <w:t>2.3 Temporal validation, overfitting, and evidence quality</w:t>
      </w:r>
    </w:p>
    <w:p w14:paraId="4C02A3FC" w14:textId="77777777" w:rsidR="00335172" w:rsidRDefault="00000000">
      <w:r>
        <w:t>Bergmeir and Benítez (2012) and Bergmeir et al. (2018) explain why the assumptions underlying ordinary cross-validation do not automatically extend to autoregressive or dependent time series. López de Prado (2018) emphasizes purging, embargo-like timing controls, and the separation of research selection from performance evaluation in financial machine learning. Bailey et al. (2014) show how backtest overfitting can make a large in-sample search appear persuasive even when out-of-sample performance is weak. Peng and de Moraes Souza (2024) similarly frame financial machine learning as a setting in which apparent predictive success must be interpreted alongside chaos, overfitting, and equilibrium considerations.</w:t>
      </w:r>
    </w:p>
    <w:p w14:paraId="1C59C5B4" w14:textId="77777777" w:rsidR="00335172" w:rsidRDefault="00000000">
      <w:r>
        <w:t>The present protocol adopts these principles as design constraints. It fixes the main historical boundary, removes training observations whose future label intervals overlap the validation or evaluation interval, and confines model and threshold selection to the development data. A later audit identified an additional issue that is disclosed rather than concealed: the secondary calibration-to-evaluation boundary was not fully purged in the 12-trial ablation. This finding changes the evidentiary status of the ablation results and prevents them from being treated as confirmatory leakage-free estimates.</w:t>
      </w:r>
    </w:p>
    <w:p w14:paraId="3B0244FC" w14:textId="77777777" w:rsidR="00335172" w:rsidRDefault="00000000">
      <w:pPr>
        <w:pStyle w:val="Heading2"/>
        <w:spacing w:before="240" w:after="120"/>
      </w:pPr>
      <w:r>
        <w:t>2.4 Research gap and positioning of the present study</w:t>
      </w:r>
    </w:p>
    <w:p w14:paraId="611D5308" w14:textId="77777777" w:rsidR="00335172" w:rsidRDefault="00000000">
      <w:pPr>
        <w:rPr>
          <w:rtl/>
        </w:rPr>
      </w:pPr>
      <w:r>
        <w:t>Table 1 maps the principal ideas used in the study to their direct sources and clarifies how each source is used. This mapping distinguishes literature-derived motivation from the authors' implementation choices. No prior study is treated as evidence for the numerical results reported here; each citation supports only the concept, method, or limitation for which it is explicitly referenced.</w:t>
      </w:r>
    </w:p>
    <w:p w14:paraId="3C3B2724" w14:textId="77777777" w:rsidR="001D3AD8" w:rsidRDefault="001D3AD8"/>
    <w:p w14:paraId="3D0751CB" w14:textId="77777777" w:rsidR="00335172" w:rsidRDefault="00000000">
      <w:pPr>
        <w:pStyle w:val="TableCaption"/>
        <w:keepLines/>
        <w:spacing w:before="80" w:after="80" w:line="240" w:lineRule="auto"/>
      </w:pPr>
      <w:r>
        <w:rPr>
          <w:rFonts w:eastAsia="Arial" w:cs="Arial"/>
        </w:rPr>
        <w:lastRenderedPageBreak/>
        <w:t>Table 1. Source-to-idea mapping and role in the present study</w:t>
      </w:r>
    </w:p>
    <w:tbl>
      <w:tblPr>
        <w:tblW w:w="9809" w:type="dxa"/>
        <w:jc w:val="center"/>
        <w:tblBorders>
          <w:top w:val="single" w:sz="3" w:space="0" w:color="AAB6C2"/>
          <w:left w:val="single" w:sz="3" w:space="0" w:color="AAB6C2"/>
          <w:bottom w:val="single" w:sz="3" w:space="0" w:color="AAB6C2"/>
          <w:right w:val="single" w:sz="3" w:space="0" w:color="AAB6C2"/>
          <w:insideH w:val="single" w:sz="3" w:space="0" w:color="AAB6C2"/>
          <w:insideV w:val="single" w:sz="3" w:space="0" w:color="AAB6C2"/>
        </w:tblBorders>
        <w:tblLayout w:type="fixed"/>
        <w:tblLook w:val="04A0" w:firstRow="1" w:lastRow="0" w:firstColumn="1" w:lastColumn="0" w:noHBand="0" w:noVBand="1"/>
      </w:tblPr>
      <w:tblGrid>
        <w:gridCol w:w="2649"/>
        <w:gridCol w:w="2452"/>
        <w:gridCol w:w="4708"/>
      </w:tblGrid>
      <w:tr w:rsidR="00335172" w14:paraId="7A58C198" w14:textId="77777777">
        <w:trPr>
          <w:tblHeader/>
          <w:jc w:val="center"/>
        </w:trPr>
        <w:tc>
          <w:tcPr>
            <w:tcW w:w="2648" w:type="dxa"/>
            <w:shd w:val="clear" w:color="auto" w:fill="EAF0F6"/>
            <w:tcMar>
              <w:top w:w="45" w:type="dxa"/>
              <w:left w:w="55" w:type="dxa"/>
              <w:bottom w:w="45" w:type="dxa"/>
              <w:right w:w="55" w:type="dxa"/>
            </w:tcMar>
            <w:vAlign w:val="center"/>
          </w:tcPr>
          <w:p w14:paraId="5CD9A433" w14:textId="77777777" w:rsidR="00335172" w:rsidRDefault="00000000">
            <w:pPr>
              <w:spacing w:after="0" w:line="240" w:lineRule="auto"/>
              <w:jc w:val="left"/>
            </w:pPr>
            <w:r>
              <w:rPr>
                <w:b/>
                <w:color w:val="000000"/>
                <w:sz w:val="16"/>
              </w:rPr>
              <w:t>Research idea</w:t>
            </w:r>
          </w:p>
        </w:tc>
        <w:tc>
          <w:tcPr>
            <w:tcW w:w="2452" w:type="dxa"/>
            <w:shd w:val="clear" w:color="auto" w:fill="EAF0F6"/>
            <w:tcMar>
              <w:top w:w="45" w:type="dxa"/>
              <w:left w:w="55" w:type="dxa"/>
              <w:bottom w:w="45" w:type="dxa"/>
              <w:right w:w="55" w:type="dxa"/>
            </w:tcMar>
            <w:vAlign w:val="center"/>
          </w:tcPr>
          <w:p w14:paraId="247D0EFF" w14:textId="77777777" w:rsidR="00335172" w:rsidRDefault="00000000">
            <w:pPr>
              <w:spacing w:after="0" w:line="240" w:lineRule="auto"/>
              <w:jc w:val="left"/>
            </w:pPr>
            <w:r>
              <w:rPr>
                <w:b/>
                <w:color w:val="000000"/>
                <w:sz w:val="16"/>
              </w:rPr>
              <w:t>Direct source</w:t>
            </w:r>
          </w:p>
        </w:tc>
        <w:tc>
          <w:tcPr>
            <w:tcW w:w="4708" w:type="dxa"/>
            <w:shd w:val="clear" w:color="auto" w:fill="EAF0F6"/>
            <w:tcMar>
              <w:top w:w="45" w:type="dxa"/>
              <w:left w:w="55" w:type="dxa"/>
              <w:bottom w:w="45" w:type="dxa"/>
              <w:right w:w="55" w:type="dxa"/>
            </w:tcMar>
            <w:vAlign w:val="center"/>
          </w:tcPr>
          <w:p w14:paraId="6CB517A3" w14:textId="77777777" w:rsidR="00335172" w:rsidRDefault="00000000">
            <w:pPr>
              <w:spacing w:after="0" w:line="240" w:lineRule="auto"/>
              <w:jc w:val="left"/>
            </w:pPr>
            <w:r>
              <w:rPr>
                <w:b/>
                <w:color w:val="000000"/>
                <w:sz w:val="16"/>
              </w:rPr>
              <w:t>Role and limitation</w:t>
            </w:r>
          </w:p>
        </w:tc>
      </w:tr>
      <w:tr w:rsidR="00335172" w14:paraId="196CD65E" w14:textId="77777777">
        <w:trPr>
          <w:cantSplit/>
          <w:jc w:val="center"/>
        </w:trPr>
        <w:tc>
          <w:tcPr>
            <w:tcW w:w="2648" w:type="dxa"/>
            <w:tcMar>
              <w:top w:w="45" w:type="dxa"/>
              <w:left w:w="55" w:type="dxa"/>
              <w:bottom w:w="45" w:type="dxa"/>
              <w:right w:w="55" w:type="dxa"/>
            </w:tcMar>
            <w:vAlign w:val="center"/>
          </w:tcPr>
          <w:p w14:paraId="3A07EE50" w14:textId="77777777" w:rsidR="00335172" w:rsidRDefault="00000000">
            <w:pPr>
              <w:spacing w:after="0" w:line="240" w:lineRule="auto"/>
              <w:jc w:val="left"/>
            </w:pPr>
            <w:r>
              <w:rPr>
                <w:color w:val="000000"/>
                <w:sz w:val="16"/>
              </w:rPr>
              <w:t>Gold as a hedge/safe haven</w:t>
            </w:r>
          </w:p>
        </w:tc>
        <w:tc>
          <w:tcPr>
            <w:tcW w:w="2452" w:type="dxa"/>
            <w:tcMar>
              <w:top w:w="45" w:type="dxa"/>
              <w:left w:w="55" w:type="dxa"/>
              <w:bottom w:w="45" w:type="dxa"/>
              <w:right w:w="55" w:type="dxa"/>
            </w:tcMar>
            <w:vAlign w:val="center"/>
          </w:tcPr>
          <w:p w14:paraId="5D4E43E9" w14:textId="77777777" w:rsidR="00335172" w:rsidRDefault="00000000">
            <w:pPr>
              <w:spacing w:after="0" w:line="240" w:lineRule="auto"/>
              <w:jc w:val="left"/>
            </w:pPr>
            <w:r>
              <w:rPr>
                <w:color w:val="000000"/>
                <w:sz w:val="16"/>
              </w:rPr>
              <w:t>Baur &amp; Lucey (2010); Baur &amp; McDermott (2010)</w:t>
            </w:r>
          </w:p>
        </w:tc>
        <w:tc>
          <w:tcPr>
            <w:tcW w:w="4708" w:type="dxa"/>
            <w:tcMar>
              <w:top w:w="45" w:type="dxa"/>
              <w:left w:w="55" w:type="dxa"/>
              <w:bottom w:w="45" w:type="dxa"/>
              <w:right w:w="55" w:type="dxa"/>
            </w:tcMar>
            <w:vAlign w:val="center"/>
          </w:tcPr>
          <w:p w14:paraId="1E901B1C" w14:textId="77777777" w:rsidR="00335172" w:rsidRDefault="00000000">
            <w:pPr>
              <w:spacing w:after="0" w:line="240" w:lineRule="auto"/>
              <w:jc w:val="left"/>
            </w:pPr>
            <w:r>
              <w:rPr>
                <w:color w:val="000000"/>
                <w:sz w:val="16"/>
              </w:rPr>
              <w:t>Motivation for studying gold; not a directional-performance claim.</w:t>
            </w:r>
          </w:p>
        </w:tc>
      </w:tr>
      <w:tr w:rsidR="00335172" w14:paraId="3D400837" w14:textId="77777777">
        <w:trPr>
          <w:cantSplit/>
          <w:jc w:val="center"/>
        </w:trPr>
        <w:tc>
          <w:tcPr>
            <w:tcW w:w="2648" w:type="dxa"/>
            <w:tcMar>
              <w:top w:w="45" w:type="dxa"/>
              <w:left w:w="55" w:type="dxa"/>
              <w:bottom w:w="45" w:type="dxa"/>
              <w:right w:w="55" w:type="dxa"/>
            </w:tcMar>
            <w:vAlign w:val="center"/>
          </w:tcPr>
          <w:p w14:paraId="7F689BC7" w14:textId="77777777" w:rsidR="00335172" w:rsidRDefault="00000000">
            <w:pPr>
              <w:spacing w:after="0" w:line="240" w:lineRule="auto"/>
              <w:jc w:val="left"/>
            </w:pPr>
            <w:r>
              <w:rPr>
                <w:color w:val="000000"/>
                <w:sz w:val="16"/>
              </w:rPr>
              <w:t>Long-range dependence and Hurst exponent</w:t>
            </w:r>
          </w:p>
        </w:tc>
        <w:tc>
          <w:tcPr>
            <w:tcW w:w="2452" w:type="dxa"/>
            <w:tcMar>
              <w:top w:w="45" w:type="dxa"/>
              <w:left w:w="55" w:type="dxa"/>
              <w:bottom w:w="45" w:type="dxa"/>
              <w:right w:w="55" w:type="dxa"/>
            </w:tcMar>
            <w:vAlign w:val="center"/>
          </w:tcPr>
          <w:p w14:paraId="6B2D1402" w14:textId="77777777" w:rsidR="00335172" w:rsidRDefault="00000000">
            <w:pPr>
              <w:spacing w:after="0" w:line="240" w:lineRule="auto"/>
              <w:jc w:val="left"/>
            </w:pPr>
            <w:r>
              <w:rPr>
                <w:color w:val="000000"/>
                <w:sz w:val="16"/>
              </w:rPr>
              <w:t>Hurst (1951); Mandelbrot &amp; Wallis (1969)</w:t>
            </w:r>
          </w:p>
        </w:tc>
        <w:tc>
          <w:tcPr>
            <w:tcW w:w="4708" w:type="dxa"/>
            <w:tcMar>
              <w:top w:w="45" w:type="dxa"/>
              <w:left w:w="55" w:type="dxa"/>
              <w:bottom w:w="45" w:type="dxa"/>
              <w:right w:w="55" w:type="dxa"/>
            </w:tcMar>
            <w:vAlign w:val="center"/>
          </w:tcPr>
          <w:p w14:paraId="3B656E2A" w14:textId="77777777" w:rsidR="00335172" w:rsidRDefault="00000000">
            <w:pPr>
              <w:spacing w:after="0" w:line="240" w:lineRule="auto"/>
              <w:jc w:val="left"/>
            </w:pPr>
            <w:r>
              <w:rPr>
                <w:color w:val="000000"/>
                <w:sz w:val="16"/>
              </w:rPr>
              <w:t>Conceptual basis for Hurst features and the legacy R/S comparison.</w:t>
            </w:r>
          </w:p>
        </w:tc>
      </w:tr>
      <w:tr w:rsidR="00335172" w14:paraId="2DDD7C1F" w14:textId="77777777">
        <w:trPr>
          <w:cantSplit/>
          <w:jc w:val="center"/>
        </w:trPr>
        <w:tc>
          <w:tcPr>
            <w:tcW w:w="2648" w:type="dxa"/>
            <w:tcMar>
              <w:top w:w="45" w:type="dxa"/>
              <w:left w:w="55" w:type="dxa"/>
              <w:bottom w:w="45" w:type="dxa"/>
              <w:right w:w="55" w:type="dxa"/>
            </w:tcMar>
            <w:vAlign w:val="center"/>
          </w:tcPr>
          <w:p w14:paraId="5C880058" w14:textId="77777777" w:rsidR="00335172" w:rsidRDefault="00000000">
            <w:pPr>
              <w:spacing w:after="0" w:line="240" w:lineRule="auto"/>
              <w:jc w:val="left"/>
            </w:pPr>
            <w:r>
              <w:rPr>
                <w:color w:val="000000"/>
                <w:sz w:val="16"/>
              </w:rPr>
              <w:t>DFA estimation</w:t>
            </w:r>
          </w:p>
        </w:tc>
        <w:tc>
          <w:tcPr>
            <w:tcW w:w="2452" w:type="dxa"/>
            <w:tcMar>
              <w:top w:w="45" w:type="dxa"/>
              <w:left w:w="55" w:type="dxa"/>
              <w:bottom w:w="45" w:type="dxa"/>
              <w:right w:w="55" w:type="dxa"/>
            </w:tcMar>
            <w:vAlign w:val="center"/>
          </w:tcPr>
          <w:p w14:paraId="68820C0E" w14:textId="77777777" w:rsidR="00335172" w:rsidRDefault="00000000">
            <w:pPr>
              <w:spacing w:after="0" w:line="240" w:lineRule="auto"/>
              <w:jc w:val="left"/>
            </w:pPr>
            <w:r>
              <w:rPr>
                <w:color w:val="000000"/>
                <w:sz w:val="16"/>
              </w:rPr>
              <w:t>Kantelhardt et al. (2001)</w:t>
            </w:r>
          </w:p>
        </w:tc>
        <w:tc>
          <w:tcPr>
            <w:tcW w:w="4708" w:type="dxa"/>
            <w:tcMar>
              <w:top w:w="45" w:type="dxa"/>
              <w:left w:w="55" w:type="dxa"/>
              <w:bottom w:w="45" w:type="dxa"/>
              <w:right w:w="55" w:type="dxa"/>
            </w:tcMar>
            <w:vAlign w:val="center"/>
          </w:tcPr>
          <w:p w14:paraId="601557FD" w14:textId="77777777" w:rsidR="00335172" w:rsidRDefault="00000000">
            <w:pPr>
              <w:spacing w:after="0" w:line="240" w:lineRule="auto"/>
              <w:jc w:val="left"/>
            </w:pPr>
            <w:r>
              <w:rPr>
                <w:color w:val="000000"/>
                <w:sz w:val="16"/>
              </w:rPr>
              <w:t>Methodological basis for the causal DFA1 representation.</w:t>
            </w:r>
          </w:p>
        </w:tc>
      </w:tr>
      <w:tr w:rsidR="00335172" w14:paraId="0177B219" w14:textId="77777777">
        <w:trPr>
          <w:cantSplit/>
          <w:jc w:val="center"/>
        </w:trPr>
        <w:tc>
          <w:tcPr>
            <w:tcW w:w="2648" w:type="dxa"/>
            <w:tcMar>
              <w:top w:w="45" w:type="dxa"/>
              <w:left w:w="55" w:type="dxa"/>
              <w:bottom w:w="45" w:type="dxa"/>
              <w:right w:w="55" w:type="dxa"/>
            </w:tcMar>
            <w:vAlign w:val="center"/>
          </w:tcPr>
          <w:p w14:paraId="24EF8ABA" w14:textId="77777777" w:rsidR="00335172" w:rsidRDefault="00000000">
            <w:pPr>
              <w:spacing w:after="0" w:line="240" w:lineRule="auto"/>
              <w:jc w:val="left"/>
            </w:pPr>
            <w:r>
              <w:rPr>
                <w:color w:val="000000"/>
                <w:sz w:val="16"/>
              </w:rPr>
              <w:t>Hurst and financial predictability</w:t>
            </w:r>
          </w:p>
        </w:tc>
        <w:tc>
          <w:tcPr>
            <w:tcW w:w="2452" w:type="dxa"/>
            <w:tcMar>
              <w:top w:w="45" w:type="dxa"/>
              <w:left w:w="55" w:type="dxa"/>
              <w:bottom w:w="45" w:type="dxa"/>
              <w:right w:w="55" w:type="dxa"/>
            </w:tcMar>
            <w:vAlign w:val="center"/>
          </w:tcPr>
          <w:p w14:paraId="14A9D6C4" w14:textId="77777777" w:rsidR="00335172" w:rsidRDefault="00000000">
            <w:pPr>
              <w:spacing w:after="0" w:line="240" w:lineRule="auto"/>
              <w:jc w:val="left"/>
            </w:pPr>
            <w:r>
              <w:rPr>
                <w:color w:val="000000"/>
                <w:sz w:val="16"/>
              </w:rPr>
              <w:t>Qian &amp; Rasheed (2004)</w:t>
            </w:r>
          </w:p>
        </w:tc>
        <w:tc>
          <w:tcPr>
            <w:tcW w:w="4708" w:type="dxa"/>
            <w:tcMar>
              <w:top w:w="45" w:type="dxa"/>
              <w:left w:w="55" w:type="dxa"/>
              <w:bottom w:w="45" w:type="dxa"/>
              <w:right w:w="55" w:type="dxa"/>
            </w:tcMar>
            <w:vAlign w:val="center"/>
          </w:tcPr>
          <w:p w14:paraId="52A0E4D5" w14:textId="77777777" w:rsidR="00335172" w:rsidRDefault="00000000">
            <w:pPr>
              <w:spacing w:after="0" w:line="240" w:lineRule="auto"/>
              <w:jc w:val="left"/>
            </w:pPr>
            <w:r>
              <w:rPr>
                <w:color w:val="000000"/>
                <w:sz w:val="16"/>
              </w:rPr>
              <w:t>Prior hypothesis; not direct evidence for XAUUSD.</w:t>
            </w:r>
          </w:p>
        </w:tc>
      </w:tr>
      <w:tr w:rsidR="00335172" w14:paraId="0EED0824" w14:textId="77777777">
        <w:trPr>
          <w:cantSplit/>
          <w:jc w:val="center"/>
        </w:trPr>
        <w:tc>
          <w:tcPr>
            <w:tcW w:w="2648" w:type="dxa"/>
            <w:tcMar>
              <w:top w:w="45" w:type="dxa"/>
              <w:left w:w="55" w:type="dxa"/>
              <w:bottom w:w="45" w:type="dxa"/>
              <w:right w:w="55" w:type="dxa"/>
            </w:tcMar>
            <w:vAlign w:val="center"/>
          </w:tcPr>
          <w:p w14:paraId="67F82014" w14:textId="77777777" w:rsidR="00335172" w:rsidRDefault="00000000">
            <w:pPr>
              <w:spacing w:after="0" w:line="240" w:lineRule="auto"/>
              <w:jc w:val="left"/>
            </w:pPr>
            <w:r>
              <w:rPr>
                <w:color w:val="000000"/>
                <w:sz w:val="16"/>
              </w:rPr>
              <w:t>Time-series validation and purging</w:t>
            </w:r>
          </w:p>
        </w:tc>
        <w:tc>
          <w:tcPr>
            <w:tcW w:w="2452" w:type="dxa"/>
            <w:tcMar>
              <w:top w:w="45" w:type="dxa"/>
              <w:left w:w="55" w:type="dxa"/>
              <w:bottom w:w="45" w:type="dxa"/>
              <w:right w:w="55" w:type="dxa"/>
            </w:tcMar>
            <w:vAlign w:val="center"/>
          </w:tcPr>
          <w:p w14:paraId="34F3858B" w14:textId="77777777" w:rsidR="00335172" w:rsidRDefault="00000000">
            <w:pPr>
              <w:spacing w:after="0" w:line="240" w:lineRule="auto"/>
              <w:jc w:val="left"/>
            </w:pPr>
            <w:r>
              <w:rPr>
                <w:color w:val="000000"/>
                <w:sz w:val="16"/>
              </w:rPr>
              <w:t>Bergmeir &amp; Benítez (2012); Bergmeir et al. (2018); López de Prado (2018)</w:t>
            </w:r>
          </w:p>
        </w:tc>
        <w:tc>
          <w:tcPr>
            <w:tcW w:w="4708" w:type="dxa"/>
            <w:tcMar>
              <w:top w:w="45" w:type="dxa"/>
              <w:left w:w="55" w:type="dxa"/>
              <w:bottom w:w="45" w:type="dxa"/>
              <w:right w:w="55" w:type="dxa"/>
            </w:tcMar>
            <w:vAlign w:val="center"/>
          </w:tcPr>
          <w:p w14:paraId="7D570879" w14:textId="77777777" w:rsidR="00335172" w:rsidRDefault="00000000">
            <w:pPr>
              <w:spacing w:after="0" w:line="240" w:lineRule="auto"/>
              <w:jc w:val="left"/>
            </w:pPr>
            <w:r>
              <w:rPr>
                <w:color w:val="000000"/>
                <w:sz w:val="16"/>
              </w:rPr>
              <w:t>Motivation for chronological splits and overlap control.</w:t>
            </w:r>
          </w:p>
        </w:tc>
      </w:tr>
      <w:tr w:rsidR="00335172" w14:paraId="2D996236" w14:textId="77777777">
        <w:trPr>
          <w:cantSplit/>
          <w:jc w:val="center"/>
        </w:trPr>
        <w:tc>
          <w:tcPr>
            <w:tcW w:w="2648" w:type="dxa"/>
            <w:tcMar>
              <w:top w:w="45" w:type="dxa"/>
              <w:left w:w="55" w:type="dxa"/>
              <w:bottom w:w="45" w:type="dxa"/>
              <w:right w:w="55" w:type="dxa"/>
            </w:tcMar>
            <w:vAlign w:val="center"/>
          </w:tcPr>
          <w:p w14:paraId="365DFC0F" w14:textId="77777777" w:rsidR="00335172" w:rsidRDefault="00000000">
            <w:pPr>
              <w:spacing w:after="0" w:line="240" w:lineRule="auto"/>
              <w:jc w:val="left"/>
            </w:pPr>
            <w:r>
              <w:rPr>
                <w:color w:val="000000"/>
                <w:sz w:val="16"/>
              </w:rPr>
              <w:t>Tree ensembles and boosting</w:t>
            </w:r>
          </w:p>
        </w:tc>
        <w:tc>
          <w:tcPr>
            <w:tcW w:w="2452" w:type="dxa"/>
            <w:tcMar>
              <w:top w:w="45" w:type="dxa"/>
              <w:left w:w="55" w:type="dxa"/>
              <w:bottom w:w="45" w:type="dxa"/>
              <w:right w:w="55" w:type="dxa"/>
            </w:tcMar>
            <w:vAlign w:val="center"/>
          </w:tcPr>
          <w:p w14:paraId="4E9BA104" w14:textId="77777777" w:rsidR="00335172" w:rsidRDefault="00000000">
            <w:pPr>
              <w:spacing w:after="0" w:line="240" w:lineRule="auto"/>
              <w:jc w:val="left"/>
            </w:pPr>
            <w:r>
              <w:rPr>
                <w:color w:val="000000"/>
                <w:sz w:val="16"/>
              </w:rPr>
              <w:t>Breiman (2001); Geurts et al. (2006); Friedman (2001)</w:t>
            </w:r>
          </w:p>
        </w:tc>
        <w:tc>
          <w:tcPr>
            <w:tcW w:w="4708" w:type="dxa"/>
            <w:tcMar>
              <w:top w:w="45" w:type="dxa"/>
              <w:left w:w="55" w:type="dxa"/>
              <w:bottom w:w="45" w:type="dxa"/>
              <w:right w:w="55" w:type="dxa"/>
            </w:tcMar>
            <w:vAlign w:val="center"/>
          </w:tcPr>
          <w:p w14:paraId="437D00ED" w14:textId="77777777" w:rsidR="00335172" w:rsidRDefault="00000000">
            <w:pPr>
              <w:spacing w:after="0" w:line="240" w:lineRule="auto"/>
              <w:jc w:val="left"/>
            </w:pPr>
            <w:r>
              <w:rPr>
                <w:color w:val="000000"/>
                <w:sz w:val="16"/>
              </w:rPr>
              <w:t>Sources for candidate model families.</w:t>
            </w:r>
          </w:p>
        </w:tc>
      </w:tr>
      <w:tr w:rsidR="00335172" w14:paraId="3F2B4369" w14:textId="77777777">
        <w:trPr>
          <w:cantSplit/>
          <w:jc w:val="center"/>
        </w:trPr>
        <w:tc>
          <w:tcPr>
            <w:tcW w:w="2648" w:type="dxa"/>
            <w:tcMar>
              <w:top w:w="45" w:type="dxa"/>
              <w:left w:w="55" w:type="dxa"/>
              <w:bottom w:w="45" w:type="dxa"/>
              <w:right w:w="55" w:type="dxa"/>
            </w:tcMar>
            <w:vAlign w:val="center"/>
          </w:tcPr>
          <w:p w14:paraId="70596A7C" w14:textId="77777777" w:rsidR="00335172" w:rsidRDefault="00000000">
            <w:pPr>
              <w:spacing w:after="0" w:line="240" w:lineRule="auto"/>
              <w:jc w:val="left"/>
            </w:pPr>
            <w:r>
              <w:rPr>
                <w:color w:val="000000"/>
                <w:sz w:val="16"/>
              </w:rPr>
              <w:t>Metrics and block bootstrap</w:t>
            </w:r>
          </w:p>
        </w:tc>
        <w:tc>
          <w:tcPr>
            <w:tcW w:w="2452" w:type="dxa"/>
            <w:tcMar>
              <w:top w:w="45" w:type="dxa"/>
              <w:left w:w="55" w:type="dxa"/>
              <w:bottom w:w="45" w:type="dxa"/>
              <w:right w:w="55" w:type="dxa"/>
            </w:tcMar>
            <w:vAlign w:val="center"/>
          </w:tcPr>
          <w:p w14:paraId="31571215" w14:textId="77777777" w:rsidR="00335172" w:rsidRDefault="00000000">
            <w:pPr>
              <w:spacing w:after="0" w:line="240" w:lineRule="auto"/>
              <w:jc w:val="left"/>
            </w:pPr>
            <w:r>
              <w:rPr>
                <w:color w:val="000000"/>
                <w:sz w:val="16"/>
              </w:rPr>
              <w:t>Brodersen et al. (2010); Sokolova &amp; Lapalme (2009); Künsch (1989)</w:t>
            </w:r>
          </w:p>
        </w:tc>
        <w:tc>
          <w:tcPr>
            <w:tcW w:w="4708" w:type="dxa"/>
            <w:tcMar>
              <w:top w:w="45" w:type="dxa"/>
              <w:left w:w="55" w:type="dxa"/>
              <w:bottom w:w="45" w:type="dxa"/>
              <w:right w:w="55" w:type="dxa"/>
            </w:tcMar>
            <w:vAlign w:val="center"/>
          </w:tcPr>
          <w:p w14:paraId="745D6CFE" w14:textId="77777777" w:rsidR="00335172" w:rsidRDefault="00000000">
            <w:pPr>
              <w:spacing w:after="0" w:line="240" w:lineRule="auto"/>
              <w:jc w:val="left"/>
            </w:pPr>
            <w:r>
              <w:rPr>
                <w:color w:val="000000"/>
                <w:sz w:val="16"/>
              </w:rPr>
              <w:t>Basis for balanced accuracy, macro-F1, and uncertainty intervals.</w:t>
            </w:r>
          </w:p>
        </w:tc>
      </w:tr>
      <w:tr w:rsidR="00335172" w14:paraId="3F4B68CC" w14:textId="77777777">
        <w:trPr>
          <w:cantSplit/>
          <w:jc w:val="center"/>
        </w:trPr>
        <w:tc>
          <w:tcPr>
            <w:tcW w:w="2648" w:type="dxa"/>
            <w:tcMar>
              <w:top w:w="45" w:type="dxa"/>
              <w:left w:w="55" w:type="dxa"/>
              <w:bottom w:w="45" w:type="dxa"/>
              <w:right w:w="55" w:type="dxa"/>
            </w:tcMar>
            <w:vAlign w:val="center"/>
          </w:tcPr>
          <w:p w14:paraId="79C5E5CA" w14:textId="77777777" w:rsidR="00335172" w:rsidRDefault="00000000">
            <w:pPr>
              <w:spacing w:after="0" w:line="240" w:lineRule="auto"/>
              <w:jc w:val="left"/>
            </w:pPr>
            <w:r>
              <w:rPr>
                <w:color w:val="000000"/>
                <w:sz w:val="16"/>
              </w:rPr>
              <w:t>Overfitting and cautious financial inference</w:t>
            </w:r>
          </w:p>
        </w:tc>
        <w:tc>
          <w:tcPr>
            <w:tcW w:w="2452" w:type="dxa"/>
            <w:tcMar>
              <w:top w:w="45" w:type="dxa"/>
              <w:left w:w="55" w:type="dxa"/>
              <w:bottom w:w="45" w:type="dxa"/>
              <w:right w:w="55" w:type="dxa"/>
            </w:tcMar>
            <w:vAlign w:val="center"/>
          </w:tcPr>
          <w:p w14:paraId="380D5DA3" w14:textId="77777777" w:rsidR="00335172" w:rsidRDefault="00000000">
            <w:pPr>
              <w:spacing w:after="0" w:line="240" w:lineRule="auto"/>
              <w:jc w:val="left"/>
            </w:pPr>
            <w:r>
              <w:rPr>
                <w:color w:val="000000"/>
                <w:sz w:val="16"/>
              </w:rPr>
              <w:t>Bailey et al. (2014); Peng &amp; de Moraes Souza (2024); Gu et al. (2020); Fischer &amp; Krauss (2018)</w:t>
            </w:r>
          </w:p>
        </w:tc>
        <w:tc>
          <w:tcPr>
            <w:tcW w:w="4708" w:type="dxa"/>
            <w:tcMar>
              <w:top w:w="45" w:type="dxa"/>
              <w:left w:w="55" w:type="dxa"/>
              <w:bottom w:w="45" w:type="dxa"/>
              <w:right w:w="55" w:type="dxa"/>
            </w:tcMar>
            <w:vAlign w:val="center"/>
          </w:tcPr>
          <w:p w14:paraId="73CDF560" w14:textId="77777777" w:rsidR="00335172" w:rsidRDefault="00000000">
            <w:pPr>
              <w:spacing w:after="0" w:line="240" w:lineRule="auto"/>
              <w:jc w:val="left"/>
            </w:pPr>
            <w:r>
              <w:rPr>
                <w:color w:val="000000"/>
                <w:sz w:val="16"/>
              </w:rPr>
              <w:t>Context for small signals and cross-study comparability.</w:t>
            </w:r>
          </w:p>
        </w:tc>
      </w:tr>
      <w:tr w:rsidR="00335172" w14:paraId="36D2AFAE" w14:textId="77777777">
        <w:trPr>
          <w:cantSplit/>
          <w:jc w:val="center"/>
        </w:trPr>
        <w:tc>
          <w:tcPr>
            <w:tcW w:w="2648" w:type="dxa"/>
            <w:tcMar>
              <w:top w:w="45" w:type="dxa"/>
              <w:left w:w="55" w:type="dxa"/>
              <w:bottom w:w="45" w:type="dxa"/>
              <w:right w:w="55" w:type="dxa"/>
            </w:tcMar>
            <w:vAlign w:val="center"/>
          </w:tcPr>
          <w:p w14:paraId="4B003CF0" w14:textId="77777777" w:rsidR="00335172" w:rsidRDefault="00000000">
            <w:pPr>
              <w:spacing w:after="0" w:line="240" w:lineRule="auto"/>
              <w:jc w:val="left"/>
            </w:pPr>
            <w:r>
              <w:rPr>
                <w:color w:val="000000"/>
                <w:sz w:val="16"/>
              </w:rPr>
              <w:t>Closest Hurst-gold precedent</w:t>
            </w:r>
          </w:p>
        </w:tc>
        <w:tc>
          <w:tcPr>
            <w:tcW w:w="2452" w:type="dxa"/>
            <w:tcMar>
              <w:top w:w="45" w:type="dxa"/>
              <w:left w:w="55" w:type="dxa"/>
              <w:bottom w:w="45" w:type="dxa"/>
              <w:right w:w="55" w:type="dxa"/>
            </w:tcMar>
            <w:vAlign w:val="center"/>
          </w:tcPr>
          <w:p w14:paraId="632EB36E" w14:textId="77777777" w:rsidR="00335172" w:rsidRDefault="00000000">
            <w:pPr>
              <w:spacing w:after="0" w:line="240" w:lineRule="auto"/>
              <w:jc w:val="left"/>
            </w:pPr>
            <w:r>
              <w:rPr>
                <w:color w:val="000000"/>
                <w:sz w:val="16"/>
              </w:rPr>
              <w:t>Yang et al. (2024)</w:t>
            </w:r>
          </w:p>
        </w:tc>
        <w:tc>
          <w:tcPr>
            <w:tcW w:w="4708" w:type="dxa"/>
            <w:tcMar>
              <w:top w:w="45" w:type="dxa"/>
              <w:left w:w="55" w:type="dxa"/>
              <w:bottom w:w="45" w:type="dxa"/>
              <w:right w:w="55" w:type="dxa"/>
            </w:tcMar>
            <w:vAlign w:val="center"/>
          </w:tcPr>
          <w:p w14:paraId="11A6608D" w14:textId="77777777" w:rsidR="00335172" w:rsidRDefault="00000000">
            <w:pPr>
              <w:spacing w:after="0" w:line="240" w:lineRule="auto"/>
              <w:jc w:val="left"/>
            </w:pPr>
            <w:r>
              <w:rPr>
                <w:color w:val="000000"/>
                <w:sz w:val="16"/>
              </w:rPr>
              <w:t>External comparison; different markets, targets, and architecture.</w:t>
            </w:r>
          </w:p>
        </w:tc>
      </w:tr>
    </w:tbl>
    <w:p w14:paraId="4BAA715D" w14:textId="77777777" w:rsidR="00335172" w:rsidRDefault="00000000">
      <w:pPr>
        <w:pStyle w:val="SourceNote"/>
        <w:spacing w:before="80" w:after="120" w:line="240" w:lineRule="auto"/>
      </w:pPr>
      <w:r>
        <w:t>Source: Authors' synthesis from the references listed in this study.</w:t>
      </w:r>
    </w:p>
    <w:p w14:paraId="64CBDDBE" w14:textId="77777777" w:rsidR="00335172" w:rsidRDefault="00000000">
      <w:pPr>
        <w:pStyle w:val="Heading1"/>
        <w:spacing w:before="320" w:after="160"/>
      </w:pPr>
      <w:r>
        <w:rPr>
          <w:rFonts w:ascii="Arial" w:eastAsia="Arial" w:hAnsi="Arial" w:cs="Arial"/>
          <w:sz w:val="24"/>
        </w:rPr>
        <w:t>3. Materials and Methods</w:t>
      </w:r>
    </w:p>
    <w:p w14:paraId="7C069D82" w14:textId="77777777" w:rsidR="00335172" w:rsidRDefault="00000000">
      <w:pPr>
        <w:pStyle w:val="Heading2"/>
        <w:spacing w:before="240" w:after="120"/>
      </w:pPr>
      <w:r>
        <w:rPr>
          <w:rFonts w:ascii="Arial" w:eastAsia="Arial" w:hAnsi="Arial" w:cs="Arial"/>
        </w:rPr>
        <w:t>3.1 Research questions and hypotheses</w:t>
      </w:r>
    </w:p>
    <w:p w14:paraId="24D57C1D" w14:textId="77777777" w:rsidR="00335172" w:rsidRDefault="00000000">
      <w:r>
        <w:t>The primary null hypotheses were specified before the results were interpreted. H0-A states that the candidate forecasting system does not demonstrate stable superiority over the reference level under the pre-specified temporal evaluation. H0-B states that adding Hurst-based features does not provide stable incremental value relative to an otherwise identical no-Hurst system. A result is not interpreted as supportive merely because one horizon or one model arm yields the highest point estimate; the pattern must be consistent across the pre-specified horizons and supported by the evaluation evidence.</w:t>
      </w:r>
    </w:p>
    <w:p w14:paraId="2D072FFD" w14:textId="77777777" w:rsidR="00335172" w:rsidRDefault="00000000">
      <w:pPr>
        <w:pStyle w:val="Heading2"/>
        <w:spacing w:before="240" w:after="120"/>
      </w:pPr>
      <w:r>
        <w:rPr>
          <w:rFonts w:ascii="Arial" w:eastAsia="Arial" w:hAnsi="Arial" w:cs="Arial"/>
        </w:rPr>
        <w:t>3.2 Data and provenance</w:t>
      </w:r>
    </w:p>
    <w:p w14:paraId="07C8D362" w14:textId="77777777" w:rsidR="00335172" w:rsidRDefault="00000000">
      <w:r>
        <w:t>The dataset contains 4,017 daily XAUUSD observations spanning 3 January 2011 to 31 July 2026. The development period ends on 30 June 2023 and contains 3,221 rows. The historical evaluation period begins at the locked boundary of 3 July 2023 and contains 796 rows before horizon-specific label loss. Data were obtained from MetaQuotes-Demo / MetaQuotes Ltd and recorded in UTC. The volume field represents broker tick volume rather than consolidated exchange volume. Some extraction metadata were reconstructed retrospectively, and the repository records provenance_complete=false. These limitations are part of the data definition and are therefore reported explicitly.</w:t>
      </w:r>
    </w:p>
    <w:p w14:paraId="3E61FB3E" w14:textId="77777777" w:rsidR="00335172" w:rsidRDefault="00000000">
      <w:r>
        <w:t>The historical evaluation period had already been observed during the project lifecycle. It is therefore described as a previously observed historical holdout rather than as a pristine prospective confirmation set. The values are reported to document the study, but they are not used to claim prospective generalization.</w:t>
      </w:r>
    </w:p>
    <w:p w14:paraId="4FF04C8B" w14:textId="77777777" w:rsidR="00335172" w:rsidRDefault="00000000">
      <w:pPr>
        <w:pStyle w:val="TableCaption"/>
        <w:keepLines/>
        <w:spacing w:before="80" w:after="80" w:line="240" w:lineRule="auto"/>
      </w:pPr>
      <w:r>
        <w:rPr>
          <w:rFonts w:eastAsia="Arial" w:cs="Arial"/>
        </w:rPr>
        <w:t>Table 2. Data contract and provenance limitations</w:t>
      </w:r>
    </w:p>
    <w:tbl>
      <w:tblPr>
        <w:tblW w:w="9809" w:type="dxa"/>
        <w:jc w:val="center"/>
        <w:tblBorders>
          <w:top w:val="single" w:sz="3" w:space="0" w:color="AAB6C2"/>
          <w:left w:val="single" w:sz="3" w:space="0" w:color="AAB6C2"/>
          <w:bottom w:val="single" w:sz="3" w:space="0" w:color="AAB6C2"/>
          <w:right w:val="single" w:sz="3" w:space="0" w:color="AAB6C2"/>
          <w:insideH w:val="single" w:sz="3" w:space="0" w:color="AAB6C2"/>
          <w:insideV w:val="single" w:sz="3" w:space="0" w:color="AAB6C2"/>
        </w:tblBorders>
        <w:tblLayout w:type="fixed"/>
        <w:tblLook w:val="04A0" w:firstRow="1" w:lastRow="0" w:firstColumn="1" w:lastColumn="0" w:noHBand="0" w:noVBand="1"/>
      </w:tblPr>
      <w:tblGrid>
        <w:gridCol w:w="1962"/>
        <w:gridCol w:w="3433"/>
        <w:gridCol w:w="4414"/>
      </w:tblGrid>
      <w:tr w:rsidR="00335172" w14:paraId="0C063A0C" w14:textId="77777777">
        <w:trPr>
          <w:tblHeader/>
          <w:jc w:val="center"/>
        </w:trPr>
        <w:tc>
          <w:tcPr>
            <w:tcW w:w="1961" w:type="dxa"/>
            <w:shd w:val="clear" w:color="auto" w:fill="EAF0F6"/>
            <w:tcMar>
              <w:top w:w="45" w:type="dxa"/>
              <w:left w:w="55" w:type="dxa"/>
              <w:bottom w:w="45" w:type="dxa"/>
              <w:right w:w="55" w:type="dxa"/>
            </w:tcMar>
            <w:vAlign w:val="center"/>
          </w:tcPr>
          <w:p w14:paraId="50B5543A" w14:textId="77777777" w:rsidR="00335172" w:rsidRDefault="00000000">
            <w:pPr>
              <w:spacing w:after="0" w:line="240" w:lineRule="auto"/>
              <w:jc w:val="left"/>
            </w:pPr>
            <w:r>
              <w:rPr>
                <w:b/>
                <w:color w:val="000000"/>
                <w:sz w:val="16"/>
              </w:rPr>
              <w:t>Component</w:t>
            </w:r>
          </w:p>
        </w:tc>
        <w:tc>
          <w:tcPr>
            <w:tcW w:w="3433" w:type="dxa"/>
            <w:shd w:val="clear" w:color="auto" w:fill="EAF0F6"/>
            <w:tcMar>
              <w:top w:w="45" w:type="dxa"/>
              <w:left w:w="55" w:type="dxa"/>
              <w:bottom w:w="45" w:type="dxa"/>
              <w:right w:w="55" w:type="dxa"/>
            </w:tcMar>
            <w:vAlign w:val="center"/>
          </w:tcPr>
          <w:p w14:paraId="576D05D8" w14:textId="77777777" w:rsidR="00335172" w:rsidRDefault="00000000">
            <w:pPr>
              <w:spacing w:after="0" w:line="240" w:lineRule="auto"/>
              <w:jc w:val="left"/>
            </w:pPr>
            <w:r>
              <w:rPr>
                <w:b/>
                <w:color w:val="000000"/>
                <w:sz w:val="16"/>
              </w:rPr>
              <w:t>Recorded value</w:t>
            </w:r>
          </w:p>
        </w:tc>
        <w:tc>
          <w:tcPr>
            <w:tcW w:w="4414" w:type="dxa"/>
            <w:shd w:val="clear" w:color="auto" w:fill="EAF0F6"/>
            <w:tcMar>
              <w:top w:w="45" w:type="dxa"/>
              <w:left w:w="55" w:type="dxa"/>
              <w:bottom w:w="45" w:type="dxa"/>
              <w:right w:w="55" w:type="dxa"/>
            </w:tcMar>
            <w:vAlign w:val="center"/>
          </w:tcPr>
          <w:p w14:paraId="0C8601F8" w14:textId="77777777" w:rsidR="00335172" w:rsidRDefault="00000000">
            <w:pPr>
              <w:spacing w:after="0" w:line="240" w:lineRule="auto"/>
              <w:jc w:val="left"/>
            </w:pPr>
            <w:r>
              <w:rPr>
                <w:b/>
                <w:color w:val="000000"/>
                <w:sz w:val="16"/>
              </w:rPr>
              <w:t>Interpretive limitation</w:t>
            </w:r>
          </w:p>
        </w:tc>
      </w:tr>
      <w:tr w:rsidR="00335172" w14:paraId="0FD4FA50" w14:textId="77777777">
        <w:trPr>
          <w:cantSplit/>
          <w:jc w:val="center"/>
        </w:trPr>
        <w:tc>
          <w:tcPr>
            <w:tcW w:w="1961" w:type="dxa"/>
            <w:tcMar>
              <w:top w:w="45" w:type="dxa"/>
              <w:left w:w="55" w:type="dxa"/>
              <w:bottom w:w="45" w:type="dxa"/>
              <w:right w:w="55" w:type="dxa"/>
            </w:tcMar>
            <w:vAlign w:val="center"/>
          </w:tcPr>
          <w:p w14:paraId="65EDA59D" w14:textId="77777777" w:rsidR="00335172" w:rsidRDefault="00000000">
            <w:pPr>
              <w:spacing w:after="0" w:line="240" w:lineRule="auto"/>
              <w:jc w:val="left"/>
            </w:pPr>
            <w:r>
              <w:rPr>
                <w:color w:val="000000"/>
                <w:sz w:val="16"/>
              </w:rPr>
              <w:t>Instrument</w:t>
            </w:r>
          </w:p>
        </w:tc>
        <w:tc>
          <w:tcPr>
            <w:tcW w:w="3433" w:type="dxa"/>
            <w:tcMar>
              <w:top w:w="45" w:type="dxa"/>
              <w:left w:w="55" w:type="dxa"/>
              <w:bottom w:w="45" w:type="dxa"/>
              <w:right w:w="55" w:type="dxa"/>
            </w:tcMar>
            <w:vAlign w:val="center"/>
          </w:tcPr>
          <w:p w14:paraId="68F76E45" w14:textId="77777777" w:rsidR="00335172" w:rsidRDefault="00000000">
            <w:pPr>
              <w:spacing w:after="0" w:line="240" w:lineRule="auto"/>
              <w:jc w:val="left"/>
            </w:pPr>
            <w:r>
              <w:rPr>
                <w:color w:val="000000"/>
                <w:sz w:val="16"/>
              </w:rPr>
              <w:t>Daily XAUUSD</w:t>
            </w:r>
          </w:p>
        </w:tc>
        <w:tc>
          <w:tcPr>
            <w:tcW w:w="4414" w:type="dxa"/>
            <w:tcMar>
              <w:top w:w="45" w:type="dxa"/>
              <w:left w:w="55" w:type="dxa"/>
              <w:bottom w:w="45" w:type="dxa"/>
              <w:right w:w="55" w:type="dxa"/>
            </w:tcMar>
            <w:vAlign w:val="center"/>
          </w:tcPr>
          <w:p w14:paraId="774E3F07" w14:textId="77777777" w:rsidR="00335172" w:rsidRDefault="00000000">
            <w:pPr>
              <w:spacing w:after="0" w:line="240" w:lineRule="auto"/>
              <w:jc w:val="left"/>
            </w:pPr>
            <w:r>
              <w:rPr>
                <w:color w:val="000000"/>
                <w:sz w:val="16"/>
              </w:rPr>
              <w:t>Contract and symbol details are broker-dependent.</w:t>
            </w:r>
          </w:p>
        </w:tc>
      </w:tr>
      <w:tr w:rsidR="00335172" w14:paraId="1F9E4167" w14:textId="77777777">
        <w:trPr>
          <w:cantSplit/>
          <w:jc w:val="center"/>
        </w:trPr>
        <w:tc>
          <w:tcPr>
            <w:tcW w:w="1961" w:type="dxa"/>
            <w:tcMar>
              <w:top w:w="45" w:type="dxa"/>
              <w:left w:w="55" w:type="dxa"/>
              <w:bottom w:w="45" w:type="dxa"/>
              <w:right w:w="55" w:type="dxa"/>
            </w:tcMar>
            <w:vAlign w:val="center"/>
          </w:tcPr>
          <w:p w14:paraId="789391D2" w14:textId="77777777" w:rsidR="00335172" w:rsidRDefault="00000000">
            <w:pPr>
              <w:spacing w:after="0" w:line="240" w:lineRule="auto"/>
              <w:jc w:val="left"/>
            </w:pPr>
            <w:r>
              <w:rPr>
                <w:color w:val="000000"/>
                <w:sz w:val="16"/>
              </w:rPr>
              <w:t>Source</w:t>
            </w:r>
          </w:p>
        </w:tc>
        <w:tc>
          <w:tcPr>
            <w:tcW w:w="3433" w:type="dxa"/>
            <w:tcMar>
              <w:top w:w="45" w:type="dxa"/>
              <w:left w:w="55" w:type="dxa"/>
              <w:bottom w:w="45" w:type="dxa"/>
              <w:right w:w="55" w:type="dxa"/>
            </w:tcMar>
            <w:vAlign w:val="center"/>
          </w:tcPr>
          <w:p w14:paraId="504E1F6C" w14:textId="77777777" w:rsidR="00335172" w:rsidRDefault="00000000">
            <w:pPr>
              <w:spacing w:after="0" w:line="240" w:lineRule="auto"/>
              <w:jc w:val="left"/>
            </w:pPr>
            <w:r>
              <w:rPr>
                <w:color w:val="000000"/>
                <w:sz w:val="16"/>
              </w:rPr>
              <w:t>MetaQuotes Ltd / MetaQuotes-Demo</w:t>
            </w:r>
          </w:p>
        </w:tc>
        <w:tc>
          <w:tcPr>
            <w:tcW w:w="4414" w:type="dxa"/>
            <w:tcMar>
              <w:top w:w="45" w:type="dxa"/>
              <w:left w:w="55" w:type="dxa"/>
              <w:bottom w:w="45" w:type="dxa"/>
              <w:right w:w="55" w:type="dxa"/>
            </w:tcMar>
            <w:vAlign w:val="center"/>
          </w:tcPr>
          <w:p w14:paraId="60184F12" w14:textId="77777777" w:rsidR="00335172" w:rsidRDefault="00000000">
            <w:pPr>
              <w:spacing w:after="0" w:line="240" w:lineRule="auto"/>
              <w:jc w:val="left"/>
            </w:pPr>
            <w:r>
              <w:rPr>
                <w:sz w:val="16"/>
              </w:rPr>
              <w:t>Equivalence to another broker feed cannot be assumed.</w:t>
            </w:r>
          </w:p>
        </w:tc>
      </w:tr>
      <w:tr w:rsidR="00335172" w14:paraId="039CCADB" w14:textId="77777777">
        <w:trPr>
          <w:cantSplit/>
          <w:jc w:val="center"/>
        </w:trPr>
        <w:tc>
          <w:tcPr>
            <w:tcW w:w="1961" w:type="dxa"/>
            <w:tcMar>
              <w:top w:w="45" w:type="dxa"/>
              <w:left w:w="55" w:type="dxa"/>
              <w:bottom w:w="45" w:type="dxa"/>
              <w:right w:w="55" w:type="dxa"/>
            </w:tcMar>
            <w:vAlign w:val="center"/>
          </w:tcPr>
          <w:p w14:paraId="153FDA6C" w14:textId="77777777" w:rsidR="00335172" w:rsidRDefault="00000000">
            <w:pPr>
              <w:spacing w:after="0" w:line="240" w:lineRule="auto"/>
              <w:jc w:val="left"/>
            </w:pPr>
            <w:r>
              <w:rPr>
                <w:color w:val="000000"/>
                <w:sz w:val="16"/>
              </w:rPr>
              <w:t>Period</w:t>
            </w:r>
          </w:p>
        </w:tc>
        <w:tc>
          <w:tcPr>
            <w:tcW w:w="3433" w:type="dxa"/>
            <w:tcMar>
              <w:top w:w="45" w:type="dxa"/>
              <w:left w:w="55" w:type="dxa"/>
              <w:bottom w:w="45" w:type="dxa"/>
              <w:right w:w="55" w:type="dxa"/>
            </w:tcMar>
            <w:vAlign w:val="center"/>
          </w:tcPr>
          <w:p w14:paraId="4DAB1815" w14:textId="77777777" w:rsidR="00335172" w:rsidRDefault="00000000">
            <w:pPr>
              <w:spacing w:after="0" w:line="240" w:lineRule="auto"/>
              <w:jc w:val="left"/>
            </w:pPr>
            <w:r>
              <w:rPr>
                <w:color w:val="000000"/>
                <w:sz w:val="16"/>
              </w:rPr>
              <w:t>2011-01-03 to 2026-07-31</w:t>
            </w:r>
          </w:p>
        </w:tc>
        <w:tc>
          <w:tcPr>
            <w:tcW w:w="4414" w:type="dxa"/>
            <w:tcMar>
              <w:top w:w="45" w:type="dxa"/>
              <w:left w:w="55" w:type="dxa"/>
              <w:bottom w:w="45" w:type="dxa"/>
              <w:right w:w="55" w:type="dxa"/>
            </w:tcMar>
            <w:vAlign w:val="center"/>
          </w:tcPr>
          <w:p w14:paraId="37C7B5F8" w14:textId="77777777" w:rsidR="00335172" w:rsidRDefault="00000000">
            <w:pPr>
              <w:spacing w:after="0" w:line="240" w:lineRule="auto"/>
              <w:jc w:val="left"/>
            </w:pPr>
            <w:r>
              <w:rPr>
                <w:color w:val="000000"/>
                <w:sz w:val="16"/>
              </w:rPr>
              <w:t>Historical evaluation was previously observed.</w:t>
            </w:r>
          </w:p>
        </w:tc>
      </w:tr>
      <w:tr w:rsidR="00335172" w14:paraId="2F8FB4F9" w14:textId="77777777">
        <w:trPr>
          <w:cantSplit/>
          <w:jc w:val="center"/>
        </w:trPr>
        <w:tc>
          <w:tcPr>
            <w:tcW w:w="1961" w:type="dxa"/>
            <w:tcMar>
              <w:top w:w="45" w:type="dxa"/>
              <w:left w:w="55" w:type="dxa"/>
              <w:bottom w:w="45" w:type="dxa"/>
              <w:right w:w="55" w:type="dxa"/>
            </w:tcMar>
            <w:vAlign w:val="center"/>
          </w:tcPr>
          <w:p w14:paraId="311EEC48" w14:textId="77777777" w:rsidR="00335172" w:rsidRDefault="00000000">
            <w:pPr>
              <w:spacing w:after="0" w:line="240" w:lineRule="auto"/>
              <w:jc w:val="left"/>
            </w:pPr>
            <w:r>
              <w:rPr>
                <w:color w:val="000000"/>
                <w:sz w:val="16"/>
              </w:rPr>
              <w:t>Split</w:t>
            </w:r>
          </w:p>
        </w:tc>
        <w:tc>
          <w:tcPr>
            <w:tcW w:w="3433" w:type="dxa"/>
            <w:tcMar>
              <w:top w:w="45" w:type="dxa"/>
              <w:left w:w="55" w:type="dxa"/>
              <w:bottom w:w="45" w:type="dxa"/>
              <w:right w:w="55" w:type="dxa"/>
            </w:tcMar>
            <w:vAlign w:val="center"/>
          </w:tcPr>
          <w:p w14:paraId="0A5B4CE4" w14:textId="77777777" w:rsidR="00335172" w:rsidRDefault="00000000">
            <w:pPr>
              <w:spacing w:after="0" w:line="240" w:lineRule="auto"/>
              <w:jc w:val="left"/>
            </w:pPr>
            <w:r>
              <w:rPr>
                <w:color w:val="000000"/>
                <w:sz w:val="16"/>
              </w:rPr>
              <w:t>Development to 2023-06-30; historical evaluation from 2023-07-03</w:t>
            </w:r>
          </w:p>
        </w:tc>
        <w:tc>
          <w:tcPr>
            <w:tcW w:w="4414" w:type="dxa"/>
            <w:tcMar>
              <w:top w:w="45" w:type="dxa"/>
              <w:left w:w="55" w:type="dxa"/>
              <w:bottom w:w="45" w:type="dxa"/>
              <w:right w:w="55" w:type="dxa"/>
            </w:tcMar>
            <w:vAlign w:val="center"/>
          </w:tcPr>
          <w:p w14:paraId="6BA18C49" w14:textId="77777777" w:rsidR="00335172" w:rsidRDefault="00000000">
            <w:pPr>
              <w:spacing w:after="0" w:line="240" w:lineRule="auto"/>
              <w:jc w:val="left"/>
            </w:pPr>
            <w:r>
              <w:rPr>
                <w:color w:val="000000"/>
                <w:sz w:val="16"/>
              </w:rPr>
              <w:t>Common boundary across horizons.</w:t>
            </w:r>
          </w:p>
        </w:tc>
      </w:tr>
      <w:tr w:rsidR="00335172" w14:paraId="6D26D12A" w14:textId="77777777">
        <w:trPr>
          <w:cantSplit/>
          <w:jc w:val="center"/>
        </w:trPr>
        <w:tc>
          <w:tcPr>
            <w:tcW w:w="1961" w:type="dxa"/>
            <w:tcMar>
              <w:top w:w="45" w:type="dxa"/>
              <w:left w:w="55" w:type="dxa"/>
              <w:bottom w:w="45" w:type="dxa"/>
              <w:right w:w="55" w:type="dxa"/>
            </w:tcMar>
            <w:vAlign w:val="center"/>
          </w:tcPr>
          <w:p w14:paraId="371E7007" w14:textId="77777777" w:rsidR="00335172" w:rsidRDefault="00000000">
            <w:pPr>
              <w:spacing w:after="0" w:line="240" w:lineRule="auto"/>
              <w:jc w:val="left"/>
            </w:pPr>
            <w:r>
              <w:rPr>
                <w:color w:val="000000"/>
                <w:sz w:val="16"/>
              </w:rPr>
              <w:t>Time zone</w:t>
            </w:r>
          </w:p>
        </w:tc>
        <w:tc>
          <w:tcPr>
            <w:tcW w:w="3433" w:type="dxa"/>
            <w:tcMar>
              <w:top w:w="45" w:type="dxa"/>
              <w:left w:w="55" w:type="dxa"/>
              <w:bottom w:w="45" w:type="dxa"/>
              <w:right w:w="55" w:type="dxa"/>
            </w:tcMar>
            <w:vAlign w:val="center"/>
          </w:tcPr>
          <w:p w14:paraId="25BC7F88" w14:textId="77777777" w:rsidR="00335172" w:rsidRDefault="00000000">
            <w:pPr>
              <w:spacing w:after="0" w:line="240" w:lineRule="auto"/>
              <w:jc w:val="left"/>
            </w:pPr>
            <w:r>
              <w:rPr>
                <w:color w:val="000000"/>
                <w:sz w:val="16"/>
              </w:rPr>
              <w:t>UTC</w:t>
            </w:r>
          </w:p>
        </w:tc>
        <w:tc>
          <w:tcPr>
            <w:tcW w:w="4414" w:type="dxa"/>
            <w:tcMar>
              <w:top w:w="45" w:type="dxa"/>
              <w:left w:w="55" w:type="dxa"/>
              <w:bottom w:w="45" w:type="dxa"/>
              <w:right w:w="55" w:type="dxa"/>
            </w:tcMar>
            <w:vAlign w:val="center"/>
          </w:tcPr>
          <w:p w14:paraId="4B7546B8" w14:textId="77777777" w:rsidR="00335172" w:rsidRDefault="00000000">
            <w:pPr>
              <w:spacing w:after="0" w:line="240" w:lineRule="auto"/>
              <w:jc w:val="left"/>
            </w:pPr>
            <w:r>
              <w:rPr>
                <w:color w:val="000000"/>
                <w:sz w:val="16"/>
              </w:rPr>
              <w:t>Daily candles depend on the broker session convention.</w:t>
            </w:r>
          </w:p>
        </w:tc>
      </w:tr>
      <w:tr w:rsidR="00335172" w14:paraId="18E4D29A" w14:textId="77777777">
        <w:trPr>
          <w:cantSplit/>
          <w:jc w:val="center"/>
        </w:trPr>
        <w:tc>
          <w:tcPr>
            <w:tcW w:w="1961" w:type="dxa"/>
            <w:tcMar>
              <w:top w:w="45" w:type="dxa"/>
              <w:left w:w="55" w:type="dxa"/>
              <w:bottom w:w="45" w:type="dxa"/>
              <w:right w:w="55" w:type="dxa"/>
            </w:tcMar>
            <w:vAlign w:val="center"/>
          </w:tcPr>
          <w:p w14:paraId="05332DAD" w14:textId="77777777" w:rsidR="00335172" w:rsidRDefault="00000000">
            <w:pPr>
              <w:spacing w:after="0" w:line="240" w:lineRule="auto"/>
              <w:jc w:val="left"/>
            </w:pPr>
            <w:r>
              <w:rPr>
                <w:color w:val="000000"/>
                <w:sz w:val="16"/>
              </w:rPr>
              <w:t>Volume</w:t>
            </w:r>
          </w:p>
        </w:tc>
        <w:tc>
          <w:tcPr>
            <w:tcW w:w="3433" w:type="dxa"/>
            <w:tcMar>
              <w:top w:w="45" w:type="dxa"/>
              <w:left w:w="55" w:type="dxa"/>
              <w:bottom w:w="45" w:type="dxa"/>
              <w:right w:w="55" w:type="dxa"/>
            </w:tcMar>
            <w:vAlign w:val="center"/>
          </w:tcPr>
          <w:p w14:paraId="176BEB3D" w14:textId="77777777" w:rsidR="00335172" w:rsidRDefault="00000000">
            <w:pPr>
              <w:spacing w:after="0" w:line="240" w:lineRule="auto"/>
              <w:jc w:val="left"/>
            </w:pPr>
            <w:r>
              <w:rPr>
                <w:color w:val="000000"/>
                <w:sz w:val="16"/>
              </w:rPr>
              <w:t>Broker tick volume</w:t>
            </w:r>
          </w:p>
        </w:tc>
        <w:tc>
          <w:tcPr>
            <w:tcW w:w="4414" w:type="dxa"/>
            <w:tcMar>
              <w:top w:w="45" w:type="dxa"/>
              <w:left w:w="55" w:type="dxa"/>
              <w:bottom w:w="45" w:type="dxa"/>
              <w:right w:w="55" w:type="dxa"/>
            </w:tcMar>
            <w:vAlign w:val="center"/>
          </w:tcPr>
          <w:p w14:paraId="222C4F24" w14:textId="77777777" w:rsidR="00335172" w:rsidRDefault="00000000">
            <w:pPr>
              <w:spacing w:after="0" w:line="240" w:lineRule="auto"/>
              <w:jc w:val="left"/>
            </w:pPr>
            <w:r>
              <w:rPr>
                <w:color w:val="000000"/>
                <w:sz w:val="16"/>
              </w:rPr>
              <w:t>Not consolidated gold-market volume.</w:t>
            </w:r>
          </w:p>
        </w:tc>
      </w:tr>
      <w:tr w:rsidR="00335172" w14:paraId="78D3B476" w14:textId="77777777">
        <w:trPr>
          <w:cantSplit/>
          <w:jc w:val="center"/>
        </w:trPr>
        <w:tc>
          <w:tcPr>
            <w:tcW w:w="1961" w:type="dxa"/>
            <w:tcMar>
              <w:top w:w="45" w:type="dxa"/>
              <w:left w:w="55" w:type="dxa"/>
              <w:bottom w:w="45" w:type="dxa"/>
              <w:right w:w="55" w:type="dxa"/>
            </w:tcMar>
            <w:vAlign w:val="center"/>
          </w:tcPr>
          <w:p w14:paraId="1D700C1B" w14:textId="77777777" w:rsidR="00335172" w:rsidRDefault="00000000">
            <w:pPr>
              <w:spacing w:after="0" w:line="240" w:lineRule="auto"/>
              <w:jc w:val="left"/>
            </w:pPr>
            <w:r>
              <w:rPr>
                <w:color w:val="000000"/>
                <w:sz w:val="16"/>
              </w:rPr>
              <w:t>Metadata</w:t>
            </w:r>
          </w:p>
        </w:tc>
        <w:tc>
          <w:tcPr>
            <w:tcW w:w="3433" w:type="dxa"/>
            <w:tcMar>
              <w:top w:w="45" w:type="dxa"/>
              <w:left w:w="55" w:type="dxa"/>
              <w:bottom w:w="45" w:type="dxa"/>
              <w:right w:w="55" w:type="dxa"/>
            </w:tcMar>
            <w:vAlign w:val="center"/>
          </w:tcPr>
          <w:p w14:paraId="6E8D1716" w14:textId="77777777" w:rsidR="00335172" w:rsidRDefault="00000000">
            <w:pPr>
              <w:spacing w:after="0" w:line="240" w:lineRule="auto"/>
              <w:jc w:val="left"/>
            </w:pPr>
            <w:r>
              <w:rPr>
                <w:color w:val="000000"/>
                <w:sz w:val="16"/>
              </w:rPr>
              <w:t>Partly reconstructed; provenance_complete=false</w:t>
            </w:r>
          </w:p>
        </w:tc>
        <w:tc>
          <w:tcPr>
            <w:tcW w:w="4414" w:type="dxa"/>
            <w:tcMar>
              <w:top w:w="45" w:type="dxa"/>
              <w:left w:w="55" w:type="dxa"/>
              <w:bottom w:w="45" w:type="dxa"/>
              <w:right w:w="55" w:type="dxa"/>
            </w:tcMar>
            <w:vAlign w:val="center"/>
          </w:tcPr>
          <w:p w14:paraId="35BB986F" w14:textId="77777777" w:rsidR="00335172" w:rsidRDefault="00000000">
            <w:pPr>
              <w:spacing w:after="0" w:line="240" w:lineRule="auto"/>
              <w:jc w:val="left"/>
            </w:pPr>
            <w:r>
              <w:rPr>
                <w:sz w:val="16"/>
              </w:rPr>
              <w:t>Limits external validity and full reproducibility claims.</w:t>
            </w:r>
          </w:p>
        </w:tc>
      </w:tr>
    </w:tbl>
    <w:p w14:paraId="6CBF0069" w14:textId="77777777" w:rsidR="00335172" w:rsidRDefault="00000000">
      <w:pPr>
        <w:pStyle w:val="SourceNote"/>
        <w:spacing w:before="80" w:after="120" w:line="240" w:lineRule="auto"/>
      </w:pPr>
      <w:r>
        <w:t>Source: Data-audit records and the repository history snapshot.</w:t>
      </w:r>
    </w:p>
    <w:p w14:paraId="767FAB8F" w14:textId="77777777" w:rsidR="00335172" w:rsidRDefault="00000000">
      <w:pPr>
        <w:pStyle w:val="Heading2"/>
        <w:spacing w:before="240" w:after="120"/>
      </w:pPr>
      <w:r>
        <w:rPr>
          <w:rFonts w:ascii="Arial" w:eastAsia="Arial" w:hAnsi="Arial" w:cs="Arial"/>
        </w:rPr>
        <w:t>3.3 Decision timing and targets</w:t>
      </w:r>
    </w:p>
    <w:p w14:paraId="1AE5910D" w14:textId="77777777" w:rsidR="00335172" w:rsidRDefault="00000000">
      <w:r>
        <w:t xml:space="preserve">A decision is made at the close of day t. The primary statistical label is based on the close-to-close log return, r(t,H) = log(C(t+H)) - log(C(t)), with y(t,H) = 1 when r(t,H) &gt; 0 and y(t,H) = 0 otherwise. The executable timing convention is defined separately: an illustrative position would enter at open(t+1) and exit at open(t+1+H). This distinction prevents </w:t>
      </w:r>
      <w:r>
        <w:lastRenderedPageBreak/>
        <w:t>classification performance from being conflated with executable trading performance. No profitability claim is derived from the reported classification results.</w:t>
      </w:r>
    </w:p>
    <w:p w14:paraId="73FA5C30" w14:textId="77777777" w:rsidR="00335172" w:rsidRDefault="00000000">
      <w:pPr>
        <w:pStyle w:val="Heading2"/>
        <w:spacing w:before="240" w:after="120"/>
      </w:pPr>
      <w:r>
        <w:rPr>
          <w:rFonts w:ascii="Arial" w:eastAsia="Arial" w:hAnsi="Arial" w:cs="Arial"/>
        </w:rPr>
        <w:t>3.4 Feature construction and Hurst representations</w:t>
      </w:r>
    </w:p>
    <w:p w14:paraId="66AF8DAE" w14:textId="77777777" w:rsidR="00335172" w:rsidRDefault="00000000">
      <w:r>
        <w:t>The full feature set contains 70 causal features, whereas the no-Hurst arm contains 65. Feature families include lagged returns and momentum at lags 1, 2, 3, 5, 10, and 20; trend and volatility measures over windows of 5, 10, 20, 63, and 126 days; price-range and position features; broker tick-volume summaries; Hurst estimates over 64- and 128-day windows; and 252-day regime descriptors with a minimum history of 126 observations. Every feature at time t is computed using information available no later than t.</w:t>
      </w:r>
    </w:p>
    <w:p w14:paraId="77DB29F1" w14:textId="77777777" w:rsidR="00335172" w:rsidRDefault="00000000">
      <w:r>
        <w:t>The primary Hurst representation uses first-order DFA following the long-range-correlation procedure described by Kantelhardt et al. (2001). A robust regime representation is constructed from rolling historical thresholds rather than from a future-looking global threshold. A legacy rescaled-range representation is retained as a comparison arm because Hurst's original formulation and the robustness analysis of Mandelbrot and Wallis (1969) motivate its inclusion; however, it is not the basis of the main scientific interpretation.</w:t>
      </w:r>
    </w:p>
    <w:p w14:paraId="2DE50BAC" w14:textId="77777777" w:rsidR="00335172" w:rsidRDefault="00000000">
      <w:pPr>
        <w:pStyle w:val="TableCaption"/>
        <w:keepLines/>
        <w:spacing w:before="80" w:after="80" w:line="240" w:lineRule="auto"/>
      </w:pPr>
      <w:r>
        <w:rPr>
          <w:rFonts w:eastAsia="Arial" w:cs="Arial"/>
        </w:rPr>
        <w:t>Table 3. Feature families and roles</w:t>
      </w:r>
    </w:p>
    <w:tbl>
      <w:tblPr>
        <w:tblW w:w="9809" w:type="dxa"/>
        <w:jc w:val="center"/>
        <w:tblBorders>
          <w:top w:val="single" w:sz="3" w:space="0" w:color="AAB6C2"/>
          <w:left w:val="single" w:sz="3" w:space="0" w:color="AAB6C2"/>
          <w:bottom w:val="single" w:sz="3" w:space="0" w:color="AAB6C2"/>
          <w:right w:val="single" w:sz="3" w:space="0" w:color="AAB6C2"/>
          <w:insideH w:val="single" w:sz="3" w:space="0" w:color="AAB6C2"/>
          <w:insideV w:val="single" w:sz="3" w:space="0" w:color="AAB6C2"/>
        </w:tblBorders>
        <w:tblLayout w:type="fixed"/>
        <w:tblLook w:val="04A0" w:firstRow="1" w:lastRow="0" w:firstColumn="1" w:lastColumn="0" w:noHBand="0" w:noVBand="1"/>
      </w:tblPr>
      <w:tblGrid>
        <w:gridCol w:w="2747"/>
        <w:gridCol w:w="2256"/>
        <w:gridCol w:w="4806"/>
      </w:tblGrid>
      <w:tr w:rsidR="00335172" w14:paraId="2863F295" w14:textId="77777777">
        <w:trPr>
          <w:tblHeader/>
          <w:jc w:val="center"/>
        </w:trPr>
        <w:tc>
          <w:tcPr>
            <w:tcW w:w="2746" w:type="dxa"/>
            <w:shd w:val="clear" w:color="auto" w:fill="EAF0F6"/>
            <w:tcMar>
              <w:top w:w="45" w:type="dxa"/>
              <w:left w:w="55" w:type="dxa"/>
              <w:bottom w:w="45" w:type="dxa"/>
              <w:right w:w="55" w:type="dxa"/>
            </w:tcMar>
            <w:vAlign w:val="center"/>
          </w:tcPr>
          <w:p w14:paraId="46FD888C" w14:textId="77777777" w:rsidR="00335172" w:rsidRDefault="00000000">
            <w:pPr>
              <w:spacing w:after="0" w:line="240" w:lineRule="auto"/>
              <w:jc w:val="left"/>
            </w:pPr>
            <w:r>
              <w:rPr>
                <w:b/>
                <w:color w:val="000000"/>
                <w:sz w:val="16"/>
              </w:rPr>
              <w:t>Family</w:t>
            </w:r>
          </w:p>
        </w:tc>
        <w:tc>
          <w:tcPr>
            <w:tcW w:w="2256" w:type="dxa"/>
            <w:shd w:val="clear" w:color="auto" w:fill="EAF0F6"/>
            <w:tcMar>
              <w:top w:w="45" w:type="dxa"/>
              <w:left w:w="55" w:type="dxa"/>
              <w:bottom w:w="45" w:type="dxa"/>
              <w:right w:w="55" w:type="dxa"/>
            </w:tcMar>
            <w:vAlign w:val="center"/>
          </w:tcPr>
          <w:p w14:paraId="076C2C25" w14:textId="77777777" w:rsidR="00335172" w:rsidRDefault="00000000">
            <w:pPr>
              <w:spacing w:after="0" w:line="240" w:lineRule="auto"/>
              <w:jc w:val="left"/>
            </w:pPr>
            <w:r>
              <w:rPr>
                <w:b/>
                <w:color w:val="000000"/>
                <w:sz w:val="16"/>
              </w:rPr>
              <w:t>Window/lag</w:t>
            </w:r>
          </w:p>
        </w:tc>
        <w:tc>
          <w:tcPr>
            <w:tcW w:w="4806" w:type="dxa"/>
            <w:shd w:val="clear" w:color="auto" w:fill="EAF0F6"/>
            <w:tcMar>
              <w:top w:w="45" w:type="dxa"/>
              <w:left w:w="55" w:type="dxa"/>
              <w:bottom w:w="45" w:type="dxa"/>
              <w:right w:w="55" w:type="dxa"/>
            </w:tcMar>
            <w:vAlign w:val="center"/>
          </w:tcPr>
          <w:p w14:paraId="5BE62D47" w14:textId="77777777" w:rsidR="00335172" w:rsidRDefault="00000000">
            <w:pPr>
              <w:spacing w:after="0" w:line="240" w:lineRule="auto"/>
              <w:jc w:val="left"/>
            </w:pPr>
            <w:r>
              <w:rPr>
                <w:b/>
                <w:color w:val="000000"/>
                <w:sz w:val="16"/>
              </w:rPr>
              <w:t>Role</w:t>
            </w:r>
          </w:p>
        </w:tc>
      </w:tr>
      <w:tr w:rsidR="00335172" w14:paraId="42CB8397" w14:textId="77777777">
        <w:trPr>
          <w:cantSplit/>
          <w:jc w:val="center"/>
        </w:trPr>
        <w:tc>
          <w:tcPr>
            <w:tcW w:w="2746" w:type="dxa"/>
            <w:tcMar>
              <w:top w:w="45" w:type="dxa"/>
              <w:left w:w="55" w:type="dxa"/>
              <w:bottom w:w="45" w:type="dxa"/>
              <w:right w:w="55" w:type="dxa"/>
            </w:tcMar>
            <w:vAlign w:val="center"/>
          </w:tcPr>
          <w:p w14:paraId="1D5E064A" w14:textId="77777777" w:rsidR="00335172" w:rsidRDefault="00000000">
            <w:pPr>
              <w:spacing w:after="0" w:line="240" w:lineRule="auto"/>
              <w:jc w:val="left"/>
            </w:pPr>
            <w:r>
              <w:rPr>
                <w:color w:val="000000"/>
                <w:sz w:val="16"/>
              </w:rPr>
              <w:t>Returns and momentum</w:t>
            </w:r>
          </w:p>
        </w:tc>
        <w:tc>
          <w:tcPr>
            <w:tcW w:w="2256" w:type="dxa"/>
            <w:tcMar>
              <w:top w:w="45" w:type="dxa"/>
              <w:left w:w="55" w:type="dxa"/>
              <w:bottom w:w="45" w:type="dxa"/>
              <w:right w:w="55" w:type="dxa"/>
            </w:tcMar>
            <w:vAlign w:val="center"/>
          </w:tcPr>
          <w:p w14:paraId="3B23F54A" w14:textId="77777777" w:rsidR="00335172" w:rsidRDefault="00000000">
            <w:pPr>
              <w:spacing w:after="0" w:line="240" w:lineRule="auto"/>
              <w:jc w:val="left"/>
            </w:pPr>
            <w:r>
              <w:rPr>
                <w:color w:val="000000"/>
                <w:sz w:val="16"/>
              </w:rPr>
              <w:t>Lags 1, 2, 3, 5, 10, 20</w:t>
            </w:r>
          </w:p>
        </w:tc>
        <w:tc>
          <w:tcPr>
            <w:tcW w:w="4806" w:type="dxa"/>
            <w:tcMar>
              <w:top w:w="45" w:type="dxa"/>
              <w:left w:w="55" w:type="dxa"/>
              <w:bottom w:w="45" w:type="dxa"/>
              <w:right w:w="55" w:type="dxa"/>
            </w:tcMar>
            <w:vAlign w:val="center"/>
          </w:tcPr>
          <w:p w14:paraId="6D85D865" w14:textId="77777777" w:rsidR="00335172" w:rsidRDefault="00000000">
            <w:pPr>
              <w:spacing w:after="0" w:line="240" w:lineRule="auto"/>
              <w:jc w:val="left"/>
            </w:pPr>
            <w:r>
              <w:rPr>
                <w:color w:val="000000"/>
                <w:sz w:val="16"/>
              </w:rPr>
              <w:t>Short- and medium-term movement</w:t>
            </w:r>
          </w:p>
        </w:tc>
      </w:tr>
      <w:tr w:rsidR="00335172" w14:paraId="4D9A42E6" w14:textId="77777777">
        <w:trPr>
          <w:cantSplit/>
          <w:jc w:val="center"/>
        </w:trPr>
        <w:tc>
          <w:tcPr>
            <w:tcW w:w="2746" w:type="dxa"/>
            <w:tcMar>
              <w:top w:w="45" w:type="dxa"/>
              <w:left w:w="55" w:type="dxa"/>
              <w:bottom w:w="45" w:type="dxa"/>
              <w:right w:w="55" w:type="dxa"/>
            </w:tcMar>
            <w:vAlign w:val="center"/>
          </w:tcPr>
          <w:p w14:paraId="14841D16" w14:textId="77777777" w:rsidR="00335172" w:rsidRDefault="00000000">
            <w:pPr>
              <w:spacing w:after="0" w:line="240" w:lineRule="auto"/>
              <w:jc w:val="left"/>
            </w:pPr>
            <w:r>
              <w:rPr>
                <w:color w:val="000000"/>
                <w:sz w:val="16"/>
              </w:rPr>
              <w:t>Trend and volatility</w:t>
            </w:r>
          </w:p>
        </w:tc>
        <w:tc>
          <w:tcPr>
            <w:tcW w:w="2256" w:type="dxa"/>
            <w:tcMar>
              <w:top w:w="45" w:type="dxa"/>
              <w:left w:w="55" w:type="dxa"/>
              <w:bottom w:w="45" w:type="dxa"/>
              <w:right w:w="55" w:type="dxa"/>
            </w:tcMar>
            <w:vAlign w:val="center"/>
          </w:tcPr>
          <w:p w14:paraId="2B5C97AE" w14:textId="77777777" w:rsidR="00335172" w:rsidRDefault="00000000">
            <w:pPr>
              <w:spacing w:after="0" w:line="240" w:lineRule="auto"/>
              <w:jc w:val="left"/>
            </w:pPr>
            <w:r>
              <w:rPr>
                <w:color w:val="000000"/>
                <w:sz w:val="16"/>
              </w:rPr>
              <w:t>Windows 5, 10, 20, 63, 126</w:t>
            </w:r>
          </w:p>
        </w:tc>
        <w:tc>
          <w:tcPr>
            <w:tcW w:w="4806" w:type="dxa"/>
            <w:tcMar>
              <w:top w:w="45" w:type="dxa"/>
              <w:left w:w="55" w:type="dxa"/>
              <w:bottom w:w="45" w:type="dxa"/>
              <w:right w:w="55" w:type="dxa"/>
            </w:tcMar>
            <w:vAlign w:val="center"/>
          </w:tcPr>
          <w:p w14:paraId="1A33BB04" w14:textId="77777777" w:rsidR="00335172" w:rsidRDefault="00000000">
            <w:pPr>
              <w:spacing w:after="0" w:line="240" w:lineRule="auto"/>
              <w:jc w:val="left"/>
            </w:pPr>
            <w:r>
              <w:rPr>
                <w:color w:val="000000"/>
                <w:sz w:val="16"/>
              </w:rPr>
              <w:t>Past movement intensity and direction</w:t>
            </w:r>
          </w:p>
        </w:tc>
      </w:tr>
      <w:tr w:rsidR="00335172" w14:paraId="368A3B52" w14:textId="77777777">
        <w:trPr>
          <w:cantSplit/>
          <w:jc w:val="center"/>
        </w:trPr>
        <w:tc>
          <w:tcPr>
            <w:tcW w:w="2746" w:type="dxa"/>
            <w:tcMar>
              <w:top w:w="45" w:type="dxa"/>
              <w:left w:w="55" w:type="dxa"/>
              <w:bottom w:w="45" w:type="dxa"/>
              <w:right w:w="55" w:type="dxa"/>
            </w:tcMar>
            <w:vAlign w:val="center"/>
          </w:tcPr>
          <w:p w14:paraId="32053F1B" w14:textId="77777777" w:rsidR="00335172" w:rsidRDefault="00000000">
            <w:pPr>
              <w:spacing w:after="0" w:line="240" w:lineRule="auto"/>
              <w:jc w:val="left"/>
            </w:pPr>
            <w:r>
              <w:rPr>
                <w:color w:val="000000"/>
                <w:sz w:val="16"/>
              </w:rPr>
              <w:t>Range and price position</w:t>
            </w:r>
          </w:p>
        </w:tc>
        <w:tc>
          <w:tcPr>
            <w:tcW w:w="2256" w:type="dxa"/>
            <w:tcMar>
              <w:top w:w="45" w:type="dxa"/>
              <w:left w:w="55" w:type="dxa"/>
              <w:bottom w:w="45" w:type="dxa"/>
              <w:right w:w="55" w:type="dxa"/>
            </w:tcMar>
            <w:vAlign w:val="center"/>
          </w:tcPr>
          <w:p w14:paraId="0E52C893" w14:textId="77777777" w:rsidR="00335172" w:rsidRDefault="00000000">
            <w:pPr>
              <w:spacing w:after="0" w:line="240" w:lineRule="auto"/>
              <w:jc w:val="left"/>
            </w:pPr>
            <w:r>
              <w:rPr>
                <w:color w:val="000000"/>
                <w:sz w:val="16"/>
              </w:rPr>
              <w:t>Multiple windows</w:t>
            </w:r>
          </w:p>
        </w:tc>
        <w:tc>
          <w:tcPr>
            <w:tcW w:w="4806" w:type="dxa"/>
            <w:tcMar>
              <w:top w:w="45" w:type="dxa"/>
              <w:left w:w="55" w:type="dxa"/>
              <w:bottom w:w="45" w:type="dxa"/>
              <w:right w:w="55" w:type="dxa"/>
            </w:tcMar>
            <w:vAlign w:val="center"/>
          </w:tcPr>
          <w:p w14:paraId="18E57A1C" w14:textId="77777777" w:rsidR="00335172" w:rsidRDefault="00000000">
            <w:pPr>
              <w:spacing w:after="0" w:line="240" w:lineRule="auto"/>
              <w:jc w:val="left"/>
            </w:pPr>
            <w:r>
              <w:rPr>
                <w:color w:val="000000"/>
                <w:sz w:val="16"/>
              </w:rPr>
              <w:t>Candle and location descriptors</w:t>
            </w:r>
          </w:p>
        </w:tc>
      </w:tr>
      <w:tr w:rsidR="00335172" w14:paraId="601E800B" w14:textId="77777777">
        <w:trPr>
          <w:cantSplit/>
          <w:jc w:val="center"/>
        </w:trPr>
        <w:tc>
          <w:tcPr>
            <w:tcW w:w="2746" w:type="dxa"/>
            <w:tcMar>
              <w:top w:w="45" w:type="dxa"/>
              <w:left w:w="55" w:type="dxa"/>
              <w:bottom w:w="45" w:type="dxa"/>
              <w:right w:w="55" w:type="dxa"/>
            </w:tcMar>
            <w:vAlign w:val="center"/>
          </w:tcPr>
          <w:p w14:paraId="701286A3" w14:textId="77777777" w:rsidR="00335172" w:rsidRDefault="00000000">
            <w:pPr>
              <w:spacing w:after="0" w:line="240" w:lineRule="auto"/>
              <w:jc w:val="left"/>
            </w:pPr>
            <w:r>
              <w:rPr>
                <w:color w:val="000000"/>
                <w:sz w:val="16"/>
              </w:rPr>
              <w:t>Tick volume</w:t>
            </w:r>
          </w:p>
        </w:tc>
        <w:tc>
          <w:tcPr>
            <w:tcW w:w="2256" w:type="dxa"/>
            <w:tcMar>
              <w:top w:w="45" w:type="dxa"/>
              <w:left w:w="55" w:type="dxa"/>
              <w:bottom w:w="45" w:type="dxa"/>
              <w:right w:w="55" w:type="dxa"/>
            </w:tcMar>
            <w:vAlign w:val="center"/>
          </w:tcPr>
          <w:p w14:paraId="11C410DB" w14:textId="77777777" w:rsidR="00335172" w:rsidRDefault="00000000">
            <w:pPr>
              <w:spacing w:after="0" w:line="240" w:lineRule="auto"/>
              <w:jc w:val="left"/>
            </w:pPr>
            <w:r>
              <w:rPr>
                <w:color w:val="000000"/>
                <w:sz w:val="16"/>
              </w:rPr>
              <w:t>Multiple windows</w:t>
            </w:r>
          </w:p>
        </w:tc>
        <w:tc>
          <w:tcPr>
            <w:tcW w:w="4806" w:type="dxa"/>
            <w:tcMar>
              <w:top w:w="45" w:type="dxa"/>
              <w:left w:w="55" w:type="dxa"/>
              <w:bottom w:w="45" w:type="dxa"/>
              <w:right w:w="55" w:type="dxa"/>
            </w:tcMar>
            <w:vAlign w:val="center"/>
          </w:tcPr>
          <w:p w14:paraId="29C75BEE" w14:textId="77777777" w:rsidR="00335172" w:rsidRDefault="00000000">
            <w:pPr>
              <w:spacing w:after="0" w:line="240" w:lineRule="auto"/>
              <w:jc w:val="left"/>
            </w:pPr>
            <w:r>
              <w:rPr>
                <w:color w:val="000000"/>
                <w:sz w:val="16"/>
              </w:rPr>
              <w:t>Relative broker activity</w:t>
            </w:r>
          </w:p>
        </w:tc>
      </w:tr>
      <w:tr w:rsidR="00335172" w14:paraId="073655BC" w14:textId="77777777">
        <w:trPr>
          <w:cantSplit/>
          <w:jc w:val="center"/>
        </w:trPr>
        <w:tc>
          <w:tcPr>
            <w:tcW w:w="2746" w:type="dxa"/>
            <w:tcMar>
              <w:top w:w="45" w:type="dxa"/>
              <w:left w:w="55" w:type="dxa"/>
              <w:bottom w:w="45" w:type="dxa"/>
              <w:right w:w="55" w:type="dxa"/>
            </w:tcMar>
            <w:vAlign w:val="center"/>
          </w:tcPr>
          <w:p w14:paraId="0D2303E2" w14:textId="77777777" w:rsidR="00335172" w:rsidRDefault="00000000">
            <w:pPr>
              <w:spacing w:after="0" w:line="240" w:lineRule="auto"/>
              <w:jc w:val="left"/>
            </w:pPr>
            <w:r>
              <w:rPr>
                <w:color w:val="000000"/>
                <w:sz w:val="16"/>
              </w:rPr>
              <w:t>DFA1 Hurst</w:t>
            </w:r>
          </w:p>
        </w:tc>
        <w:tc>
          <w:tcPr>
            <w:tcW w:w="2256" w:type="dxa"/>
            <w:tcMar>
              <w:top w:w="45" w:type="dxa"/>
              <w:left w:w="55" w:type="dxa"/>
              <w:bottom w:w="45" w:type="dxa"/>
              <w:right w:w="55" w:type="dxa"/>
            </w:tcMar>
            <w:vAlign w:val="center"/>
          </w:tcPr>
          <w:p w14:paraId="1358BF6F" w14:textId="77777777" w:rsidR="00335172" w:rsidRDefault="00000000">
            <w:pPr>
              <w:spacing w:after="0" w:line="240" w:lineRule="auto"/>
              <w:jc w:val="left"/>
            </w:pPr>
            <w:r>
              <w:rPr>
                <w:color w:val="000000"/>
                <w:sz w:val="16"/>
              </w:rPr>
              <w:t>Windows 64, 128</w:t>
            </w:r>
          </w:p>
        </w:tc>
        <w:tc>
          <w:tcPr>
            <w:tcW w:w="4806" w:type="dxa"/>
            <w:tcMar>
              <w:top w:w="45" w:type="dxa"/>
              <w:left w:w="55" w:type="dxa"/>
              <w:bottom w:w="45" w:type="dxa"/>
              <w:right w:w="55" w:type="dxa"/>
            </w:tcMar>
            <w:vAlign w:val="center"/>
          </w:tcPr>
          <w:p w14:paraId="4EB4BFFE" w14:textId="77777777" w:rsidR="00335172" w:rsidRDefault="00000000">
            <w:pPr>
              <w:spacing w:after="0" w:line="240" w:lineRule="auto"/>
              <w:jc w:val="left"/>
            </w:pPr>
            <w:r>
              <w:rPr>
                <w:color w:val="000000"/>
                <w:sz w:val="16"/>
              </w:rPr>
              <w:t>Potential regime descriptor</w:t>
            </w:r>
          </w:p>
        </w:tc>
      </w:tr>
      <w:tr w:rsidR="00335172" w14:paraId="4110ADCF" w14:textId="77777777">
        <w:trPr>
          <w:cantSplit/>
          <w:jc w:val="center"/>
        </w:trPr>
        <w:tc>
          <w:tcPr>
            <w:tcW w:w="2746" w:type="dxa"/>
            <w:tcMar>
              <w:top w:w="45" w:type="dxa"/>
              <w:left w:w="55" w:type="dxa"/>
              <w:bottom w:w="45" w:type="dxa"/>
              <w:right w:w="55" w:type="dxa"/>
            </w:tcMar>
            <w:vAlign w:val="center"/>
          </w:tcPr>
          <w:p w14:paraId="4A83B456" w14:textId="77777777" w:rsidR="00335172" w:rsidRDefault="00000000">
            <w:pPr>
              <w:spacing w:after="0" w:line="240" w:lineRule="auto"/>
              <w:jc w:val="left"/>
            </w:pPr>
            <w:r>
              <w:rPr>
                <w:color w:val="000000"/>
                <w:sz w:val="16"/>
              </w:rPr>
              <w:t>Regime thresholds</w:t>
            </w:r>
          </w:p>
        </w:tc>
        <w:tc>
          <w:tcPr>
            <w:tcW w:w="2256" w:type="dxa"/>
            <w:tcMar>
              <w:top w:w="45" w:type="dxa"/>
              <w:left w:w="55" w:type="dxa"/>
              <w:bottom w:w="45" w:type="dxa"/>
              <w:right w:w="55" w:type="dxa"/>
            </w:tcMar>
            <w:vAlign w:val="center"/>
          </w:tcPr>
          <w:p w14:paraId="39AA1312" w14:textId="77777777" w:rsidR="00335172" w:rsidRDefault="00000000">
            <w:pPr>
              <w:spacing w:after="0" w:line="240" w:lineRule="auto"/>
              <w:jc w:val="left"/>
            </w:pPr>
            <w:r>
              <w:rPr>
                <w:color w:val="000000"/>
                <w:sz w:val="16"/>
              </w:rPr>
              <w:t>Window 252; minimum 126 observations</w:t>
            </w:r>
          </w:p>
        </w:tc>
        <w:tc>
          <w:tcPr>
            <w:tcW w:w="4806" w:type="dxa"/>
            <w:tcMar>
              <w:top w:w="45" w:type="dxa"/>
              <w:left w:w="55" w:type="dxa"/>
              <w:bottom w:w="45" w:type="dxa"/>
              <w:right w:w="55" w:type="dxa"/>
            </w:tcMar>
            <w:vAlign w:val="center"/>
          </w:tcPr>
          <w:p w14:paraId="4CAA6C7C" w14:textId="77777777" w:rsidR="00335172" w:rsidRDefault="00000000">
            <w:pPr>
              <w:spacing w:after="0" w:line="240" w:lineRule="auto"/>
              <w:jc w:val="left"/>
            </w:pPr>
            <w:r>
              <w:rPr>
                <w:color w:val="000000"/>
                <w:sz w:val="16"/>
              </w:rPr>
              <w:t>Causal historical regime classification</w:t>
            </w:r>
          </w:p>
        </w:tc>
      </w:tr>
    </w:tbl>
    <w:p w14:paraId="37E8B318" w14:textId="77777777" w:rsidR="00335172" w:rsidRDefault="00000000">
      <w:pPr>
        <w:pStyle w:val="SourceNote"/>
        <w:spacing w:before="80" w:after="120" w:line="240" w:lineRule="auto"/>
      </w:pPr>
      <w:r>
        <w:t>Source: Feature design recorded in the research configuration.</w:t>
      </w:r>
    </w:p>
    <w:p w14:paraId="752B71D6" w14:textId="77777777" w:rsidR="00335172" w:rsidRDefault="00000000">
      <w:pPr>
        <w:pStyle w:val="Heading2"/>
        <w:spacing w:before="240" w:after="120"/>
      </w:pPr>
      <w:r>
        <w:t>3.5 Models and stacked meta-classifier</w:t>
      </w:r>
    </w:p>
    <w:p w14:paraId="1EBB21F2" w14:textId="77777777" w:rsidR="00335172" w:rsidRDefault="00000000">
      <w:r>
        <w:t>The candidate model family comprises logistic regression, random forest, extremely randomized trees, and histogram-based gradient boosting. The tree-based methods are motivated by the established ensemble frameworks of Breiman (2001) and Geurts et al. (2006), while the boosting component follows the general function-approximation framework of Friedman (2001). Base-model outputs and regime features are passed to a linear stacked meta-classifier. This learned combination is not a deterministic Hurst gate and does not impose a rule such as H &gt; 0.5 implying an upward forecast.</w:t>
      </w:r>
    </w:p>
    <w:p w14:paraId="0C11F67E" w14:textId="77777777" w:rsidR="00335172" w:rsidRDefault="00000000">
      <w:r>
        <w:t>Candidate hyperparameters, model selection, and classification thresholds are determined within the development period. The same candidate model family and decision budget are used when Hurst features are removed. No model, forecast horizon, or threshold is selected after inspection of the historical evaluation results.</w:t>
      </w:r>
    </w:p>
    <w:p w14:paraId="2829EE61" w14:textId="77777777" w:rsidR="00335172" w:rsidRDefault="00000000">
      <w:pPr>
        <w:pStyle w:val="Heading2"/>
        <w:spacing w:before="240" w:after="120"/>
      </w:pPr>
      <w:r>
        <w:rPr>
          <w:rFonts w:ascii="Arial" w:eastAsia="Arial" w:hAnsi="Arial" w:cs="Arial"/>
        </w:rPr>
        <w:t>3.6 Temporal splitting and overlap control</w:t>
      </w:r>
    </w:p>
    <w:p w14:paraId="6BAAD853" w14:textId="77777777" w:rsidR="00335172" w:rsidRDefault="00000000">
      <w:r>
        <w:t>The evaluation preserves chronological order through purged walk-forward splits. A common locked boundary of 3 July 2023 is used for all four forecast horizons so that shorter horizons do not receive an unintended timing advantage. For each split, a training observation is removed when the endpoint of its label interval overlaps the validation or evaluation interval. This control addresses the overlap that arises when adjacent multi-day labels share future observations.</w:t>
      </w:r>
    </w:p>
    <w:p w14:paraId="1439E73C" w14:textId="77777777" w:rsidR="00335172" w:rsidRDefault="00000000">
      <w:r>
        <w:t>The design separates development decisions from the previously observed historical evaluation. However, the audit found that the secondary calibration interval used in the 12-trial ablation was not fully purged at its boundary with the evaluation interval. Because sigmoid calibration was selected in 26 of 60 outer selections, this defect is material to the evidentiary status of the ablation. The corresponding results are therefore reported descriptively and are not presented as confirmatory leakage-free estimates.</w:t>
      </w:r>
    </w:p>
    <w:p w14:paraId="0C689EAC" w14:textId="77777777" w:rsidR="00335172" w:rsidRDefault="00000000">
      <w:pPr>
        <w:pStyle w:val="Heading2"/>
        <w:spacing w:before="240" w:after="120"/>
      </w:pPr>
      <w:r>
        <w:t>3.7 Pre-specified Hurst ablation</w:t>
      </w:r>
    </w:p>
    <w:p w14:paraId="249BF6F7" w14:textId="77777777" w:rsidR="00335172" w:rsidRDefault="00000000">
      <w:r>
        <w:t>The ablation contains three model arms and four forecast horizons, producing 12 pre-specified trials: (i) no Hurst features, (ii) DFA1-Hurst features, and (iii) robust Hurst regime features. Targets, model families, data splits, and decision rules are held constant across arms. The objective is to assess incremental predictive value rather than to select the best-performing model after the fact. All 12 decisions were rejected under the project's pre-specified acceptance rule.</w:t>
      </w:r>
    </w:p>
    <w:p w14:paraId="0E5E2A57" w14:textId="77777777" w:rsidR="00335172" w:rsidRDefault="00000000">
      <w:pPr>
        <w:pStyle w:val="Heading2"/>
        <w:spacing w:before="240" w:after="120"/>
      </w:pPr>
      <w:r>
        <w:t>3.8 Metrics and acceptance criteria</w:t>
      </w:r>
    </w:p>
    <w:p w14:paraId="4D8AFF75" w14:textId="77777777" w:rsidR="00335172" w:rsidRDefault="00000000">
      <w:r>
        <w:t xml:space="preserve">Performance is evaluated using balanced accuracy, macro-F1, and ROC-AUC. Balanced accuracy is the mean of sensitivity and specificity and is suitable when class proportions differ across horizons (Brodersen et al., 2010). Macro-F1 </w:t>
      </w:r>
      <w:r>
        <w:lastRenderedPageBreak/>
        <w:t>assigns equal weight to both classes, consistent with the broader analysis of classification measures by Sokolova and Lapalme (2009). Ninety-five percent intervals are estimated using a block bootstrap to preserve some temporal dependence; the base block length is 10 observations and is increased to at least the forecast horizon when necessary, following the stationary-bootstrap rationale of Künsch (1989).</w:t>
      </w:r>
    </w:p>
    <w:p w14:paraId="6876F9A7" w14:textId="77777777" w:rsidR="00335172" w:rsidRDefault="00000000">
      <w:r>
        <w:t>The project used 60% balanced accuracy as a pre-specified engineering acceptance target. This threshold serves as a screening criterion rather than as a scientific guarantee or a test of profitability. A decision is rejected when the evidence does not support stable superiority under the locked evaluation protocol.</w:t>
      </w:r>
    </w:p>
    <w:p w14:paraId="375466D1" w14:textId="77777777" w:rsidR="00335172" w:rsidRDefault="00000000">
      <w:pPr>
        <w:pStyle w:val="Heading2"/>
        <w:spacing w:before="240" w:after="120"/>
      </w:pPr>
      <w:r>
        <w:rPr>
          <w:rFonts w:ascii="Arial" w:eastAsia="Arial" w:hAnsi="Arial" w:cs="Arial"/>
        </w:rPr>
        <w:t>3.9 Audit and reproducibility controls</w:t>
      </w:r>
    </w:p>
    <w:p w14:paraId="3BF93006" w14:textId="77777777" w:rsidR="00335172" w:rsidRDefault="00000000">
      <w:r>
        <w:t>The software pipeline separates data validation, feature construction, target generation, temporal splitting, model fitting, calibration, evaluation, and report generation. The most recent recorded quality run passed 82 automated tests covering the data contract, feature causality, overlap purging, prediction boundaries, output records, and hash integrity. Raw and processed data, configurations, development and evaluation partitions, and code snapshots are identified by SHA-256 records. These controls improve traceability and reproducibility, but they do not convert a technically successful run into evidence of statistical validity or economic usefulness.</w:t>
      </w:r>
    </w:p>
    <w:p w14:paraId="61B436B0" w14:textId="77777777" w:rsidR="00335172" w:rsidRDefault="00000000">
      <w:pPr>
        <w:pStyle w:val="Heading1"/>
        <w:spacing w:before="320" w:after="160"/>
      </w:pPr>
      <w:r>
        <w:rPr>
          <w:rFonts w:ascii="Arial" w:eastAsia="Arial" w:hAnsi="Arial" w:cs="Arial"/>
          <w:sz w:val="24"/>
        </w:rPr>
        <w:t>4. Results</w:t>
      </w:r>
    </w:p>
    <w:p w14:paraId="59A2D5FA" w14:textId="77777777" w:rsidR="00335172" w:rsidRDefault="00000000">
      <w:pPr>
        <w:pStyle w:val="Heading2"/>
        <w:spacing w:before="240" w:after="120"/>
      </w:pPr>
      <w:r>
        <w:rPr>
          <w:rFonts w:ascii="Arial" w:eastAsia="Arial" w:hAnsi="Arial" w:cs="Arial"/>
        </w:rPr>
        <w:t>4.1 Data and evaluation scope</w:t>
      </w:r>
    </w:p>
    <w:p w14:paraId="56F7C211" w14:textId="77777777" w:rsidR="00335172" w:rsidRDefault="00000000">
      <w:r>
        <w:t>The dataset provides a sufficiently long daily history for rolling features and four forecast horizons, but it represents a single broker feed and a single candle convention. The tick-volume field does not measure consolidated gold-market volume, and the partial reconstruction of extraction metadata limits external validity. Accordingly, the evaluation results should be interpreted as conditional on the documented data contract.</w:t>
      </w:r>
    </w:p>
    <w:p w14:paraId="79DCF5BE" w14:textId="77777777" w:rsidR="00335172" w:rsidRDefault="00000000">
      <w:pPr>
        <w:pStyle w:val="Heading2"/>
        <w:spacing w:before="240" w:after="120"/>
      </w:pPr>
      <w:r>
        <w:rPr>
          <w:rFonts w:ascii="Arial" w:eastAsia="Arial" w:hAnsi="Arial" w:cs="Arial"/>
        </w:rPr>
        <w:t>4.2 Previously observed historical evaluation</w:t>
      </w:r>
    </w:p>
    <w:p w14:paraId="2CCC659F" w14:textId="77777777" w:rsidR="00335172" w:rsidRDefault="00000000">
      <w:r>
        <w:t>Table 4 reports the historical evaluation results. Balanced accuracy ranges from 50.38% at the 20-day horizon to 52.19% at the 5-day horizon. Every 95% interval includes the 50% reference level, and all four pre-specified decisions are rejected. Although the 5-day horizon has the highest point estimate, a single maximum does not establish a stable horizon effect or transferable forecasting skill.</w:t>
      </w:r>
    </w:p>
    <w:p w14:paraId="3863584F" w14:textId="77777777" w:rsidR="00335172" w:rsidRDefault="00000000">
      <w:r>
        <w:t>Figure 1 presents the same result visually. The uncertainty intervals are wide relative to the differences among forecast horizons, and none approaches the 60% engineering target. These results do not support a claim of a reliable directional edge.</w:t>
      </w:r>
    </w:p>
    <w:p w14:paraId="563F967B" w14:textId="77777777" w:rsidR="00335172" w:rsidRDefault="00000000">
      <w:pPr>
        <w:pStyle w:val="TableCaption"/>
        <w:keepLines/>
        <w:spacing w:before="80" w:after="80" w:line="240" w:lineRule="auto"/>
      </w:pPr>
      <w:r>
        <w:rPr>
          <w:rFonts w:eastAsia="Arial" w:cs="Arial"/>
        </w:rPr>
        <w:t>Table 4. Previously observed historical evaluation</w:t>
      </w:r>
    </w:p>
    <w:tbl>
      <w:tblPr>
        <w:tblW w:w="9809" w:type="dxa"/>
        <w:jc w:val="center"/>
        <w:tblBorders>
          <w:top w:val="single" w:sz="3" w:space="0" w:color="AAB6C2"/>
          <w:left w:val="single" w:sz="3" w:space="0" w:color="AAB6C2"/>
          <w:bottom w:val="single" w:sz="3" w:space="0" w:color="AAB6C2"/>
          <w:right w:val="single" w:sz="3" w:space="0" w:color="AAB6C2"/>
          <w:insideH w:val="single" w:sz="3" w:space="0" w:color="AAB6C2"/>
          <w:insideV w:val="single" w:sz="3" w:space="0" w:color="AAB6C2"/>
        </w:tblBorders>
        <w:tblLayout w:type="fixed"/>
        <w:tblLook w:val="04A0" w:firstRow="1" w:lastRow="0" w:firstColumn="1" w:lastColumn="0" w:noHBand="0" w:noVBand="1"/>
      </w:tblPr>
      <w:tblGrid>
        <w:gridCol w:w="1029"/>
        <w:gridCol w:w="735"/>
        <w:gridCol w:w="1668"/>
        <w:gridCol w:w="1275"/>
        <w:gridCol w:w="1275"/>
        <w:gridCol w:w="2159"/>
        <w:gridCol w:w="1668"/>
      </w:tblGrid>
      <w:tr w:rsidR="00335172" w14:paraId="40CDDE03" w14:textId="77777777">
        <w:trPr>
          <w:tblHeader/>
          <w:jc w:val="center"/>
        </w:trPr>
        <w:tc>
          <w:tcPr>
            <w:tcW w:w="1029" w:type="dxa"/>
            <w:shd w:val="clear" w:color="auto" w:fill="EAF0F6"/>
            <w:tcMar>
              <w:top w:w="45" w:type="dxa"/>
              <w:left w:w="55" w:type="dxa"/>
              <w:bottom w:w="45" w:type="dxa"/>
              <w:right w:w="55" w:type="dxa"/>
            </w:tcMar>
            <w:vAlign w:val="center"/>
          </w:tcPr>
          <w:p w14:paraId="607CC6F8" w14:textId="77777777" w:rsidR="00335172" w:rsidRDefault="00000000">
            <w:pPr>
              <w:spacing w:after="0" w:line="240" w:lineRule="auto"/>
              <w:jc w:val="center"/>
            </w:pPr>
            <w:r>
              <w:rPr>
                <w:b/>
                <w:color w:val="000000"/>
                <w:sz w:val="16"/>
              </w:rPr>
              <w:t>Horizon (days)</w:t>
            </w:r>
          </w:p>
        </w:tc>
        <w:tc>
          <w:tcPr>
            <w:tcW w:w="735" w:type="dxa"/>
            <w:shd w:val="clear" w:color="auto" w:fill="EAF0F6"/>
            <w:tcMar>
              <w:top w:w="45" w:type="dxa"/>
              <w:left w:w="55" w:type="dxa"/>
              <w:bottom w:w="45" w:type="dxa"/>
              <w:right w:w="55" w:type="dxa"/>
            </w:tcMar>
            <w:vAlign w:val="center"/>
          </w:tcPr>
          <w:p w14:paraId="2DEA1394" w14:textId="77777777" w:rsidR="00335172" w:rsidRDefault="00000000">
            <w:pPr>
              <w:spacing w:after="0" w:line="240" w:lineRule="auto"/>
              <w:jc w:val="center"/>
            </w:pPr>
            <w:r>
              <w:rPr>
                <w:b/>
                <w:color w:val="000000"/>
                <w:sz w:val="16"/>
              </w:rPr>
              <w:t>n</w:t>
            </w:r>
          </w:p>
        </w:tc>
        <w:tc>
          <w:tcPr>
            <w:tcW w:w="1667" w:type="dxa"/>
            <w:shd w:val="clear" w:color="auto" w:fill="EAF0F6"/>
            <w:tcMar>
              <w:top w:w="45" w:type="dxa"/>
              <w:left w:w="55" w:type="dxa"/>
              <w:bottom w:w="45" w:type="dxa"/>
              <w:right w:w="55" w:type="dxa"/>
            </w:tcMar>
            <w:vAlign w:val="center"/>
          </w:tcPr>
          <w:p w14:paraId="07FDD56F" w14:textId="77777777" w:rsidR="00335172" w:rsidRDefault="00000000">
            <w:pPr>
              <w:spacing w:after="0" w:line="240" w:lineRule="auto"/>
              <w:jc w:val="center"/>
            </w:pPr>
            <w:r>
              <w:rPr>
                <w:b/>
                <w:color w:val="000000"/>
                <w:sz w:val="16"/>
              </w:rPr>
              <w:t>Balanced accuracy (%)</w:t>
            </w:r>
          </w:p>
        </w:tc>
        <w:tc>
          <w:tcPr>
            <w:tcW w:w="1275" w:type="dxa"/>
            <w:shd w:val="clear" w:color="auto" w:fill="EAF0F6"/>
            <w:tcMar>
              <w:top w:w="45" w:type="dxa"/>
              <w:left w:w="55" w:type="dxa"/>
              <w:bottom w:w="45" w:type="dxa"/>
              <w:right w:w="55" w:type="dxa"/>
            </w:tcMar>
            <w:vAlign w:val="center"/>
          </w:tcPr>
          <w:p w14:paraId="2FF1AD6F" w14:textId="77777777" w:rsidR="00335172" w:rsidRDefault="00000000">
            <w:pPr>
              <w:spacing w:after="0" w:line="240" w:lineRule="auto"/>
              <w:jc w:val="center"/>
            </w:pPr>
            <w:r>
              <w:rPr>
                <w:b/>
                <w:color w:val="000000"/>
                <w:sz w:val="16"/>
              </w:rPr>
              <w:t>Macro-F1 (%)</w:t>
            </w:r>
          </w:p>
        </w:tc>
        <w:tc>
          <w:tcPr>
            <w:tcW w:w="1275" w:type="dxa"/>
            <w:shd w:val="clear" w:color="auto" w:fill="EAF0F6"/>
            <w:tcMar>
              <w:top w:w="45" w:type="dxa"/>
              <w:left w:w="55" w:type="dxa"/>
              <w:bottom w:w="45" w:type="dxa"/>
              <w:right w:w="55" w:type="dxa"/>
            </w:tcMar>
            <w:vAlign w:val="center"/>
          </w:tcPr>
          <w:p w14:paraId="6597584F" w14:textId="77777777" w:rsidR="00335172" w:rsidRDefault="00000000">
            <w:pPr>
              <w:spacing w:after="0" w:line="240" w:lineRule="auto"/>
              <w:jc w:val="center"/>
            </w:pPr>
            <w:r>
              <w:rPr>
                <w:b/>
                <w:color w:val="000000"/>
                <w:sz w:val="16"/>
              </w:rPr>
              <w:t>ROC-AUC (%)</w:t>
            </w:r>
          </w:p>
        </w:tc>
        <w:tc>
          <w:tcPr>
            <w:tcW w:w="2158" w:type="dxa"/>
            <w:shd w:val="clear" w:color="auto" w:fill="EAF0F6"/>
            <w:tcMar>
              <w:top w:w="45" w:type="dxa"/>
              <w:left w:w="55" w:type="dxa"/>
              <w:bottom w:w="45" w:type="dxa"/>
              <w:right w:w="55" w:type="dxa"/>
            </w:tcMar>
            <w:vAlign w:val="center"/>
          </w:tcPr>
          <w:p w14:paraId="7A23B87F" w14:textId="77777777" w:rsidR="00335172" w:rsidRDefault="00000000">
            <w:pPr>
              <w:spacing w:after="0" w:line="240" w:lineRule="auto"/>
              <w:jc w:val="center"/>
            </w:pPr>
            <w:r>
              <w:rPr>
                <w:b/>
                <w:color w:val="000000"/>
                <w:sz w:val="16"/>
              </w:rPr>
              <w:t>95% interval</w:t>
            </w:r>
          </w:p>
        </w:tc>
        <w:tc>
          <w:tcPr>
            <w:tcW w:w="1667" w:type="dxa"/>
            <w:shd w:val="clear" w:color="auto" w:fill="EAF0F6"/>
            <w:tcMar>
              <w:top w:w="45" w:type="dxa"/>
              <w:left w:w="55" w:type="dxa"/>
              <w:bottom w:w="45" w:type="dxa"/>
              <w:right w:w="55" w:type="dxa"/>
            </w:tcMar>
            <w:vAlign w:val="center"/>
          </w:tcPr>
          <w:p w14:paraId="4769CC42" w14:textId="77777777" w:rsidR="00335172" w:rsidRDefault="00000000">
            <w:pPr>
              <w:spacing w:after="0" w:line="240" w:lineRule="auto"/>
              <w:jc w:val="center"/>
            </w:pPr>
            <w:r>
              <w:rPr>
                <w:b/>
                <w:color w:val="000000"/>
                <w:sz w:val="16"/>
              </w:rPr>
              <w:t>Decision</w:t>
            </w:r>
          </w:p>
        </w:tc>
      </w:tr>
      <w:tr w:rsidR="00335172" w14:paraId="3F966D7D" w14:textId="77777777">
        <w:trPr>
          <w:cantSplit/>
          <w:jc w:val="center"/>
        </w:trPr>
        <w:tc>
          <w:tcPr>
            <w:tcW w:w="1029" w:type="dxa"/>
            <w:tcMar>
              <w:top w:w="45" w:type="dxa"/>
              <w:left w:w="55" w:type="dxa"/>
              <w:bottom w:w="45" w:type="dxa"/>
              <w:right w:w="55" w:type="dxa"/>
            </w:tcMar>
            <w:vAlign w:val="center"/>
          </w:tcPr>
          <w:p w14:paraId="34CAF15B" w14:textId="77777777" w:rsidR="00335172" w:rsidRDefault="00000000">
            <w:pPr>
              <w:spacing w:after="0" w:line="240" w:lineRule="auto"/>
              <w:jc w:val="center"/>
            </w:pPr>
            <w:r>
              <w:rPr>
                <w:color w:val="000000"/>
                <w:sz w:val="16"/>
              </w:rPr>
              <w:t>1</w:t>
            </w:r>
          </w:p>
        </w:tc>
        <w:tc>
          <w:tcPr>
            <w:tcW w:w="735" w:type="dxa"/>
            <w:tcMar>
              <w:top w:w="45" w:type="dxa"/>
              <w:left w:w="55" w:type="dxa"/>
              <w:bottom w:w="45" w:type="dxa"/>
              <w:right w:w="55" w:type="dxa"/>
            </w:tcMar>
            <w:vAlign w:val="center"/>
          </w:tcPr>
          <w:p w14:paraId="689A08D9" w14:textId="77777777" w:rsidR="00335172" w:rsidRDefault="00000000">
            <w:pPr>
              <w:spacing w:after="0" w:line="240" w:lineRule="auto"/>
              <w:jc w:val="center"/>
            </w:pPr>
            <w:r>
              <w:rPr>
                <w:color w:val="000000"/>
                <w:sz w:val="16"/>
              </w:rPr>
              <w:t>794</w:t>
            </w:r>
          </w:p>
        </w:tc>
        <w:tc>
          <w:tcPr>
            <w:tcW w:w="1667" w:type="dxa"/>
            <w:tcMar>
              <w:top w:w="45" w:type="dxa"/>
              <w:left w:w="55" w:type="dxa"/>
              <w:bottom w:w="45" w:type="dxa"/>
              <w:right w:w="55" w:type="dxa"/>
            </w:tcMar>
            <w:vAlign w:val="center"/>
          </w:tcPr>
          <w:p w14:paraId="78525009" w14:textId="77777777" w:rsidR="00335172" w:rsidRDefault="00000000">
            <w:pPr>
              <w:spacing w:after="0" w:line="240" w:lineRule="auto"/>
              <w:jc w:val="center"/>
            </w:pPr>
            <w:r>
              <w:rPr>
                <w:color w:val="000000"/>
                <w:sz w:val="16"/>
              </w:rPr>
              <w:t>50.39</w:t>
            </w:r>
          </w:p>
        </w:tc>
        <w:tc>
          <w:tcPr>
            <w:tcW w:w="1275" w:type="dxa"/>
            <w:tcMar>
              <w:top w:w="45" w:type="dxa"/>
              <w:left w:w="55" w:type="dxa"/>
              <w:bottom w:w="45" w:type="dxa"/>
              <w:right w:w="55" w:type="dxa"/>
            </w:tcMar>
            <w:vAlign w:val="center"/>
          </w:tcPr>
          <w:p w14:paraId="08D555FF" w14:textId="77777777" w:rsidR="00335172" w:rsidRDefault="00000000">
            <w:pPr>
              <w:spacing w:after="0" w:line="240" w:lineRule="auto"/>
              <w:jc w:val="center"/>
            </w:pPr>
            <w:r>
              <w:rPr>
                <w:color w:val="000000"/>
                <w:sz w:val="16"/>
              </w:rPr>
              <w:t>50.04</w:t>
            </w:r>
          </w:p>
        </w:tc>
        <w:tc>
          <w:tcPr>
            <w:tcW w:w="1275" w:type="dxa"/>
            <w:tcMar>
              <w:top w:w="45" w:type="dxa"/>
              <w:left w:w="55" w:type="dxa"/>
              <w:bottom w:w="45" w:type="dxa"/>
              <w:right w:w="55" w:type="dxa"/>
            </w:tcMar>
            <w:vAlign w:val="center"/>
          </w:tcPr>
          <w:p w14:paraId="7B50BA53" w14:textId="77777777" w:rsidR="00335172" w:rsidRDefault="00000000">
            <w:pPr>
              <w:spacing w:after="0" w:line="240" w:lineRule="auto"/>
              <w:jc w:val="center"/>
            </w:pPr>
            <w:r>
              <w:rPr>
                <w:color w:val="000000"/>
                <w:sz w:val="16"/>
              </w:rPr>
              <w:t>49.19</w:t>
            </w:r>
          </w:p>
        </w:tc>
        <w:tc>
          <w:tcPr>
            <w:tcW w:w="2158" w:type="dxa"/>
            <w:tcMar>
              <w:top w:w="45" w:type="dxa"/>
              <w:left w:w="55" w:type="dxa"/>
              <w:bottom w:w="45" w:type="dxa"/>
              <w:right w:w="55" w:type="dxa"/>
            </w:tcMar>
            <w:vAlign w:val="center"/>
          </w:tcPr>
          <w:p w14:paraId="6309062D" w14:textId="77777777" w:rsidR="00335172" w:rsidRDefault="00000000">
            <w:pPr>
              <w:spacing w:after="0" w:line="240" w:lineRule="auto"/>
              <w:jc w:val="center"/>
            </w:pPr>
            <w:r>
              <w:rPr>
                <w:color w:val="000000"/>
                <w:sz w:val="16"/>
              </w:rPr>
              <w:t>46.61–53.84</w:t>
            </w:r>
          </w:p>
        </w:tc>
        <w:tc>
          <w:tcPr>
            <w:tcW w:w="1667" w:type="dxa"/>
            <w:tcMar>
              <w:top w:w="45" w:type="dxa"/>
              <w:left w:w="55" w:type="dxa"/>
              <w:bottom w:w="45" w:type="dxa"/>
              <w:right w:w="55" w:type="dxa"/>
            </w:tcMar>
            <w:vAlign w:val="center"/>
          </w:tcPr>
          <w:p w14:paraId="6C3EC848" w14:textId="77777777" w:rsidR="00335172" w:rsidRDefault="00000000">
            <w:pPr>
              <w:spacing w:after="0" w:line="240" w:lineRule="auto"/>
              <w:jc w:val="center"/>
            </w:pPr>
            <w:r>
              <w:rPr>
                <w:color w:val="000000"/>
                <w:sz w:val="16"/>
              </w:rPr>
              <w:t>Reject</w:t>
            </w:r>
          </w:p>
        </w:tc>
      </w:tr>
      <w:tr w:rsidR="00335172" w14:paraId="2F4F0883" w14:textId="77777777">
        <w:trPr>
          <w:cantSplit/>
          <w:jc w:val="center"/>
        </w:trPr>
        <w:tc>
          <w:tcPr>
            <w:tcW w:w="1029" w:type="dxa"/>
            <w:tcMar>
              <w:top w:w="45" w:type="dxa"/>
              <w:left w:w="55" w:type="dxa"/>
              <w:bottom w:w="45" w:type="dxa"/>
              <w:right w:w="55" w:type="dxa"/>
            </w:tcMar>
            <w:vAlign w:val="center"/>
          </w:tcPr>
          <w:p w14:paraId="08F32DA7" w14:textId="77777777" w:rsidR="00335172" w:rsidRDefault="00000000">
            <w:pPr>
              <w:spacing w:after="0" w:line="240" w:lineRule="auto"/>
              <w:jc w:val="center"/>
            </w:pPr>
            <w:r>
              <w:rPr>
                <w:color w:val="000000"/>
                <w:sz w:val="16"/>
              </w:rPr>
              <w:t>5</w:t>
            </w:r>
          </w:p>
        </w:tc>
        <w:tc>
          <w:tcPr>
            <w:tcW w:w="735" w:type="dxa"/>
            <w:tcMar>
              <w:top w:w="45" w:type="dxa"/>
              <w:left w:w="55" w:type="dxa"/>
              <w:bottom w:w="45" w:type="dxa"/>
              <w:right w:w="55" w:type="dxa"/>
            </w:tcMar>
            <w:vAlign w:val="center"/>
          </w:tcPr>
          <w:p w14:paraId="742B1FF4" w14:textId="77777777" w:rsidR="00335172" w:rsidRDefault="00000000">
            <w:pPr>
              <w:spacing w:after="0" w:line="240" w:lineRule="auto"/>
              <w:jc w:val="center"/>
            </w:pPr>
            <w:r>
              <w:rPr>
                <w:color w:val="000000"/>
                <w:sz w:val="16"/>
              </w:rPr>
              <w:t>790</w:t>
            </w:r>
          </w:p>
        </w:tc>
        <w:tc>
          <w:tcPr>
            <w:tcW w:w="1667" w:type="dxa"/>
            <w:tcMar>
              <w:top w:w="45" w:type="dxa"/>
              <w:left w:w="55" w:type="dxa"/>
              <w:bottom w:w="45" w:type="dxa"/>
              <w:right w:w="55" w:type="dxa"/>
            </w:tcMar>
            <w:vAlign w:val="center"/>
          </w:tcPr>
          <w:p w14:paraId="3575CE00" w14:textId="77777777" w:rsidR="00335172" w:rsidRDefault="00000000">
            <w:pPr>
              <w:spacing w:after="0" w:line="240" w:lineRule="auto"/>
              <w:jc w:val="center"/>
            </w:pPr>
            <w:r>
              <w:rPr>
                <w:color w:val="000000"/>
                <w:sz w:val="16"/>
              </w:rPr>
              <w:t>52.19</w:t>
            </w:r>
          </w:p>
        </w:tc>
        <w:tc>
          <w:tcPr>
            <w:tcW w:w="1275" w:type="dxa"/>
            <w:tcMar>
              <w:top w:w="45" w:type="dxa"/>
              <w:left w:w="55" w:type="dxa"/>
              <w:bottom w:w="45" w:type="dxa"/>
              <w:right w:w="55" w:type="dxa"/>
            </w:tcMar>
            <w:vAlign w:val="center"/>
          </w:tcPr>
          <w:p w14:paraId="036CA14F" w14:textId="77777777" w:rsidR="00335172" w:rsidRDefault="00000000">
            <w:pPr>
              <w:spacing w:after="0" w:line="240" w:lineRule="auto"/>
              <w:jc w:val="center"/>
            </w:pPr>
            <w:r>
              <w:rPr>
                <w:color w:val="000000"/>
                <w:sz w:val="16"/>
              </w:rPr>
              <w:t>45.82</w:t>
            </w:r>
          </w:p>
        </w:tc>
        <w:tc>
          <w:tcPr>
            <w:tcW w:w="1275" w:type="dxa"/>
            <w:tcMar>
              <w:top w:w="45" w:type="dxa"/>
              <w:left w:w="55" w:type="dxa"/>
              <w:bottom w:w="45" w:type="dxa"/>
              <w:right w:w="55" w:type="dxa"/>
            </w:tcMar>
            <w:vAlign w:val="center"/>
          </w:tcPr>
          <w:p w14:paraId="7974F5DD" w14:textId="77777777" w:rsidR="00335172" w:rsidRDefault="00000000">
            <w:pPr>
              <w:spacing w:after="0" w:line="240" w:lineRule="auto"/>
              <w:jc w:val="center"/>
            </w:pPr>
            <w:r>
              <w:rPr>
                <w:color w:val="000000"/>
                <w:sz w:val="16"/>
              </w:rPr>
              <w:t>55.63</w:t>
            </w:r>
          </w:p>
        </w:tc>
        <w:tc>
          <w:tcPr>
            <w:tcW w:w="2158" w:type="dxa"/>
            <w:tcMar>
              <w:top w:w="45" w:type="dxa"/>
              <w:left w:w="55" w:type="dxa"/>
              <w:bottom w:w="45" w:type="dxa"/>
              <w:right w:w="55" w:type="dxa"/>
            </w:tcMar>
            <w:vAlign w:val="center"/>
          </w:tcPr>
          <w:p w14:paraId="170918E6" w14:textId="77777777" w:rsidR="00335172" w:rsidRDefault="00000000">
            <w:pPr>
              <w:spacing w:after="0" w:line="240" w:lineRule="auto"/>
              <w:jc w:val="center"/>
            </w:pPr>
            <w:r>
              <w:rPr>
                <w:color w:val="000000"/>
                <w:sz w:val="16"/>
              </w:rPr>
              <w:t>46.13–57.21</w:t>
            </w:r>
          </w:p>
        </w:tc>
        <w:tc>
          <w:tcPr>
            <w:tcW w:w="1667" w:type="dxa"/>
            <w:tcMar>
              <w:top w:w="45" w:type="dxa"/>
              <w:left w:w="55" w:type="dxa"/>
              <w:bottom w:w="45" w:type="dxa"/>
              <w:right w:w="55" w:type="dxa"/>
            </w:tcMar>
            <w:vAlign w:val="center"/>
          </w:tcPr>
          <w:p w14:paraId="530CDB89" w14:textId="77777777" w:rsidR="00335172" w:rsidRDefault="00000000">
            <w:pPr>
              <w:spacing w:after="0" w:line="240" w:lineRule="auto"/>
              <w:jc w:val="center"/>
            </w:pPr>
            <w:r>
              <w:rPr>
                <w:color w:val="000000"/>
                <w:sz w:val="16"/>
              </w:rPr>
              <w:t>Reject</w:t>
            </w:r>
          </w:p>
        </w:tc>
      </w:tr>
      <w:tr w:rsidR="00335172" w14:paraId="2FB2100B" w14:textId="77777777">
        <w:trPr>
          <w:cantSplit/>
          <w:jc w:val="center"/>
        </w:trPr>
        <w:tc>
          <w:tcPr>
            <w:tcW w:w="1029" w:type="dxa"/>
            <w:tcMar>
              <w:top w:w="45" w:type="dxa"/>
              <w:left w:w="55" w:type="dxa"/>
              <w:bottom w:w="45" w:type="dxa"/>
              <w:right w:w="55" w:type="dxa"/>
            </w:tcMar>
            <w:vAlign w:val="center"/>
          </w:tcPr>
          <w:p w14:paraId="06065918" w14:textId="77777777" w:rsidR="00335172" w:rsidRDefault="00000000">
            <w:pPr>
              <w:spacing w:after="0" w:line="240" w:lineRule="auto"/>
              <w:jc w:val="center"/>
            </w:pPr>
            <w:r>
              <w:rPr>
                <w:color w:val="000000"/>
                <w:sz w:val="16"/>
              </w:rPr>
              <w:t>10</w:t>
            </w:r>
          </w:p>
        </w:tc>
        <w:tc>
          <w:tcPr>
            <w:tcW w:w="735" w:type="dxa"/>
            <w:tcMar>
              <w:top w:w="45" w:type="dxa"/>
              <w:left w:w="55" w:type="dxa"/>
              <w:bottom w:w="45" w:type="dxa"/>
              <w:right w:w="55" w:type="dxa"/>
            </w:tcMar>
            <w:vAlign w:val="center"/>
          </w:tcPr>
          <w:p w14:paraId="3C94967B" w14:textId="77777777" w:rsidR="00335172" w:rsidRDefault="00000000">
            <w:pPr>
              <w:spacing w:after="0" w:line="240" w:lineRule="auto"/>
              <w:jc w:val="center"/>
            </w:pPr>
            <w:r>
              <w:rPr>
                <w:color w:val="000000"/>
                <w:sz w:val="16"/>
              </w:rPr>
              <w:t>785</w:t>
            </w:r>
          </w:p>
        </w:tc>
        <w:tc>
          <w:tcPr>
            <w:tcW w:w="1667" w:type="dxa"/>
            <w:tcMar>
              <w:top w:w="45" w:type="dxa"/>
              <w:left w:w="55" w:type="dxa"/>
              <w:bottom w:w="45" w:type="dxa"/>
              <w:right w:w="55" w:type="dxa"/>
            </w:tcMar>
            <w:vAlign w:val="center"/>
          </w:tcPr>
          <w:p w14:paraId="2B5DBF55" w14:textId="77777777" w:rsidR="00335172" w:rsidRDefault="00000000">
            <w:pPr>
              <w:spacing w:after="0" w:line="240" w:lineRule="auto"/>
              <w:jc w:val="center"/>
            </w:pPr>
            <w:r>
              <w:rPr>
                <w:color w:val="000000"/>
                <w:sz w:val="16"/>
              </w:rPr>
              <w:t>50.47</w:t>
            </w:r>
          </w:p>
        </w:tc>
        <w:tc>
          <w:tcPr>
            <w:tcW w:w="1275" w:type="dxa"/>
            <w:tcMar>
              <w:top w:w="45" w:type="dxa"/>
              <w:left w:w="55" w:type="dxa"/>
              <w:bottom w:w="45" w:type="dxa"/>
              <w:right w:w="55" w:type="dxa"/>
            </w:tcMar>
            <w:vAlign w:val="center"/>
          </w:tcPr>
          <w:p w14:paraId="4681E0C4" w14:textId="77777777" w:rsidR="00335172" w:rsidRDefault="00000000">
            <w:pPr>
              <w:spacing w:after="0" w:line="240" w:lineRule="auto"/>
              <w:jc w:val="center"/>
            </w:pPr>
            <w:r>
              <w:rPr>
                <w:color w:val="000000"/>
                <w:sz w:val="16"/>
              </w:rPr>
              <w:t>40.35</w:t>
            </w:r>
          </w:p>
        </w:tc>
        <w:tc>
          <w:tcPr>
            <w:tcW w:w="1275" w:type="dxa"/>
            <w:tcMar>
              <w:top w:w="45" w:type="dxa"/>
              <w:left w:w="55" w:type="dxa"/>
              <w:bottom w:w="45" w:type="dxa"/>
              <w:right w:w="55" w:type="dxa"/>
            </w:tcMar>
            <w:vAlign w:val="center"/>
          </w:tcPr>
          <w:p w14:paraId="7F98A494" w14:textId="77777777" w:rsidR="00335172" w:rsidRDefault="00000000">
            <w:pPr>
              <w:spacing w:after="0" w:line="240" w:lineRule="auto"/>
              <w:jc w:val="center"/>
            </w:pPr>
            <w:r>
              <w:rPr>
                <w:color w:val="000000"/>
                <w:sz w:val="16"/>
              </w:rPr>
              <w:t>53.24</w:t>
            </w:r>
          </w:p>
        </w:tc>
        <w:tc>
          <w:tcPr>
            <w:tcW w:w="2158" w:type="dxa"/>
            <w:tcMar>
              <w:top w:w="45" w:type="dxa"/>
              <w:left w:w="55" w:type="dxa"/>
              <w:bottom w:w="45" w:type="dxa"/>
              <w:right w:w="55" w:type="dxa"/>
            </w:tcMar>
            <w:vAlign w:val="center"/>
          </w:tcPr>
          <w:p w14:paraId="1DEEB8C1" w14:textId="77777777" w:rsidR="00335172" w:rsidRDefault="00000000">
            <w:pPr>
              <w:spacing w:after="0" w:line="240" w:lineRule="auto"/>
              <w:jc w:val="center"/>
            </w:pPr>
            <w:r>
              <w:rPr>
                <w:color w:val="000000"/>
                <w:sz w:val="16"/>
              </w:rPr>
              <w:t>46.12–55.00</w:t>
            </w:r>
          </w:p>
        </w:tc>
        <w:tc>
          <w:tcPr>
            <w:tcW w:w="1667" w:type="dxa"/>
            <w:tcMar>
              <w:top w:w="45" w:type="dxa"/>
              <w:left w:w="55" w:type="dxa"/>
              <w:bottom w:w="45" w:type="dxa"/>
              <w:right w:w="55" w:type="dxa"/>
            </w:tcMar>
            <w:vAlign w:val="center"/>
          </w:tcPr>
          <w:p w14:paraId="6A3288AC" w14:textId="77777777" w:rsidR="00335172" w:rsidRDefault="00000000">
            <w:pPr>
              <w:spacing w:after="0" w:line="240" w:lineRule="auto"/>
              <w:jc w:val="center"/>
            </w:pPr>
            <w:r>
              <w:rPr>
                <w:color w:val="000000"/>
                <w:sz w:val="16"/>
              </w:rPr>
              <w:t>Reject</w:t>
            </w:r>
          </w:p>
        </w:tc>
      </w:tr>
      <w:tr w:rsidR="00335172" w14:paraId="6D30A55F" w14:textId="77777777">
        <w:trPr>
          <w:cantSplit/>
          <w:jc w:val="center"/>
        </w:trPr>
        <w:tc>
          <w:tcPr>
            <w:tcW w:w="1029" w:type="dxa"/>
            <w:tcMar>
              <w:top w:w="45" w:type="dxa"/>
              <w:left w:w="55" w:type="dxa"/>
              <w:bottom w:w="45" w:type="dxa"/>
              <w:right w:w="55" w:type="dxa"/>
            </w:tcMar>
            <w:vAlign w:val="center"/>
          </w:tcPr>
          <w:p w14:paraId="5D1E3C81" w14:textId="77777777" w:rsidR="00335172" w:rsidRDefault="00000000">
            <w:pPr>
              <w:spacing w:after="0" w:line="240" w:lineRule="auto"/>
              <w:jc w:val="center"/>
            </w:pPr>
            <w:r>
              <w:rPr>
                <w:color w:val="000000"/>
                <w:sz w:val="16"/>
              </w:rPr>
              <w:t>20</w:t>
            </w:r>
          </w:p>
        </w:tc>
        <w:tc>
          <w:tcPr>
            <w:tcW w:w="735" w:type="dxa"/>
            <w:tcMar>
              <w:top w:w="45" w:type="dxa"/>
              <w:left w:w="55" w:type="dxa"/>
              <w:bottom w:w="45" w:type="dxa"/>
              <w:right w:w="55" w:type="dxa"/>
            </w:tcMar>
            <w:vAlign w:val="center"/>
          </w:tcPr>
          <w:p w14:paraId="6C03F7C7" w14:textId="77777777" w:rsidR="00335172" w:rsidRDefault="00000000">
            <w:pPr>
              <w:spacing w:after="0" w:line="240" w:lineRule="auto"/>
              <w:jc w:val="center"/>
            </w:pPr>
            <w:r>
              <w:rPr>
                <w:color w:val="000000"/>
                <w:sz w:val="16"/>
              </w:rPr>
              <w:t>775</w:t>
            </w:r>
          </w:p>
        </w:tc>
        <w:tc>
          <w:tcPr>
            <w:tcW w:w="1667" w:type="dxa"/>
            <w:tcMar>
              <w:top w:w="45" w:type="dxa"/>
              <w:left w:w="55" w:type="dxa"/>
              <w:bottom w:w="45" w:type="dxa"/>
              <w:right w:w="55" w:type="dxa"/>
            </w:tcMar>
            <w:vAlign w:val="center"/>
          </w:tcPr>
          <w:p w14:paraId="6F45821B" w14:textId="77777777" w:rsidR="00335172" w:rsidRDefault="00000000">
            <w:pPr>
              <w:spacing w:after="0" w:line="240" w:lineRule="auto"/>
              <w:jc w:val="center"/>
            </w:pPr>
            <w:r>
              <w:rPr>
                <w:color w:val="000000"/>
                <w:sz w:val="16"/>
              </w:rPr>
              <w:t>50.38</w:t>
            </w:r>
          </w:p>
        </w:tc>
        <w:tc>
          <w:tcPr>
            <w:tcW w:w="1275" w:type="dxa"/>
            <w:tcMar>
              <w:top w:w="45" w:type="dxa"/>
              <w:left w:w="55" w:type="dxa"/>
              <w:bottom w:w="45" w:type="dxa"/>
              <w:right w:w="55" w:type="dxa"/>
            </w:tcMar>
            <w:vAlign w:val="center"/>
          </w:tcPr>
          <w:p w14:paraId="589D268A" w14:textId="77777777" w:rsidR="00335172" w:rsidRDefault="00000000">
            <w:pPr>
              <w:spacing w:after="0" w:line="240" w:lineRule="auto"/>
              <w:jc w:val="center"/>
            </w:pPr>
            <w:r>
              <w:rPr>
                <w:color w:val="000000"/>
                <w:sz w:val="16"/>
              </w:rPr>
              <w:t>48.20</w:t>
            </w:r>
          </w:p>
        </w:tc>
        <w:tc>
          <w:tcPr>
            <w:tcW w:w="1275" w:type="dxa"/>
            <w:tcMar>
              <w:top w:w="45" w:type="dxa"/>
              <w:left w:w="55" w:type="dxa"/>
              <w:bottom w:w="45" w:type="dxa"/>
              <w:right w:w="55" w:type="dxa"/>
            </w:tcMar>
            <w:vAlign w:val="center"/>
          </w:tcPr>
          <w:p w14:paraId="1FDC6928" w14:textId="77777777" w:rsidR="00335172" w:rsidRDefault="00000000">
            <w:pPr>
              <w:spacing w:after="0" w:line="240" w:lineRule="auto"/>
              <w:jc w:val="center"/>
            </w:pPr>
            <w:r>
              <w:rPr>
                <w:color w:val="000000"/>
                <w:sz w:val="16"/>
              </w:rPr>
              <w:t>53.34</w:t>
            </w:r>
          </w:p>
        </w:tc>
        <w:tc>
          <w:tcPr>
            <w:tcW w:w="2158" w:type="dxa"/>
            <w:tcMar>
              <w:top w:w="45" w:type="dxa"/>
              <w:left w:w="55" w:type="dxa"/>
              <w:bottom w:w="45" w:type="dxa"/>
              <w:right w:w="55" w:type="dxa"/>
            </w:tcMar>
            <w:vAlign w:val="center"/>
          </w:tcPr>
          <w:p w14:paraId="65BAE205" w14:textId="77777777" w:rsidR="00335172" w:rsidRDefault="00000000">
            <w:pPr>
              <w:spacing w:after="0" w:line="240" w:lineRule="auto"/>
              <w:jc w:val="center"/>
            </w:pPr>
            <w:r>
              <w:rPr>
                <w:color w:val="000000"/>
                <w:sz w:val="16"/>
              </w:rPr>
              <w:t>42.16–58.02</w:t>
            </w:r>
          </w:p>
        </w:tc>
        <w:tc>
          <w:tcPr>
            <w:tcW w:w="1667" w:type="dxa"/>
            <w:tcMar>
              <w:top w:w="45" w:type="dxa"/>
              <w:left w:w="55" w:type="dxa"/>
              <w:bottom w:w="45" w:type="dxa"/>
              <w:right w:w="55" w:type="dxa"/>
            </w:tcMar>
            <w:vAlign w:val="center"/>
          </w:tcPr>
          <w:p w14:paraId="4D7DC663" w14:textId="77777777" w:rsidR="00335172" w:rsidRDefault="00000000">
            <w:pPr>
              <w:spacing w:after="0" w:line="240" w:lineRule="auto"/>
              <w:jc w:val="center"/>
            </w:pPr>
            <w:r>
              <w:rPr>
                <w:color w:val="000000"/>
                <w:sz w:val="16"/>
              </w:rPr>
              <w:t>Reject</w:t>
            </w:r>
          </w:p>
        </w:tc>
      </w:tr>
    </w:tbl>
    <w:p w14:paraId="7E450C71" w14:textId="77777777" w:rsidR="00335172" w:rsidRDefault="00000000">
      <w:pPr>
        <w:pStyle w:val="SourceNote"/>
        <w:spacing w:before="80" w:after="120" w:line="240" w:lineRule="auto"/>
      </w:pPr>
      <w:r>
        <w:t>Source: Repository historical-evaluation metrics; the period was previously observed.</w:t>
      </w:r>
    </w:p>
    <w:p w14:paraId="39FB50A6" w14:textId="77777777" w:rsidR="00335172" w:rsidRDefault="00000000">
      <w:pPr>
        <w:spacing w:before="80"/>
      </w:pPr>
      <w:r>
        <w:rPr>
          <w:noProof/>
          <w:color w:val="000000"/>
        </w:rPr>
        <w:drawing>
          <wp:inline distT="0" distB="0" distL="0" distR="0" wp14:anchorId="4BDA9F9B" wp14:editId="1D29DD25">
            <wp:extent cx="4968000" cy="26013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rical_balanced_accuracy.png"/>
                    <pic:cNvPicPr/>
                  </pic:nvPicPr>
                  <pic:blipFill>
                    <a:blip r:embed="rId8"/>
                    <a:stretch>
                      <a:fillRect/>
                    </a:stretch>
                  </pic:blipFill>
                  <pic:spPr>
                    <a:xfrm>
                      <a:off x="0" y="0"/>
                      <a:ext cx="4968000" cy="2601354"/>
                    </a:xfrm>
                    <a:prstGeom prst="rect">
                      <a:avLst/>
                    </a:prstGeom>
                  </pic:spPr>
                </pic:pic>
              </a:graphicData>
            </a:graphic>
          </wp:inline>
        </w:drawing>
      </w:r>
    </w:p>
    <w:p w14:paraId="7951C50C" w14:textId="77777777" w:rsidR="00335172" w:rsidRDefault="00000000">
      <w:pPr>
        <w:pStyle w:val="FigureCaption"/>
        <w:spacing w:after="160" w:line="240" w:lineRule="auto"/>
      </w:pPr>
      <w:r>
        <w:rPr>
          <w:color w:val="5C6269"/>
        </w:rPr>
        <w:lastRenderedPageBreak/>
        <w:t>Figure 1. Balanced accuracy and 95% intervals in the historical evaluation</w:t>
      </w:r>
    </w:p>
    <w:p w14:paraId="510147E8" w14:textId="77777777" w:rsidR="00335172" w:rsidRDefault="00000000">
      <w:pPr>
        <w:pStyle w:val="Heading2"/>
        <w:spacing w:before="240" w:after="120"/>
      </w:pPr>
      <w:r>
        <w:rPr>
          <w:rFonts w:ascii="Arial" w:eastAsia="Arial" w:hAnsi="Arial" w:cs="Arial"/>
        </w:rPr>
        <w:t>4.3 Hurst ablation</w:t>
      </w:r>
    </w:p>
    <w:p w14:paraId="39307483" w14:textId="77777777" w:rsidR="00335172" w:rsidRDefault="00000000">
      <w:r>
        <w:t>Table 5 compares the three ablation arms. The no-Hurst arm yields the highest point estimate at the one-day horizon (52.03%), while the robust Hurst regime arm is highest at the 5-day and 20-day horizons (50.91% and 51.24%, respectively). The DFA1-Hurst arm is not the highest-performing arm at any horizon. Because the point-estimate winner changes across horizons and all 12 decisions are rejected, the results do not show a stable pattern of incremental value from Hurst features.</w:t>
      </w:r>
    </w:p>
    <w:p w14:paraId="12F28847" w14:textId="77777777" w:rsidR="00335172" w:rsidRDefault="00000000">
      <w:r>
        <w:t>The highest observed ablation estimate, 52.03% balanced accuracy with 51.62% macro-F1 for the no-Hurst arm at the one-day horizon, should not be interpreted as confirmatory evidence. The audit found that, in all 60 outer selections, the secondary calibration label endpoint crossed the evaluation start; sigmoid calibration was selected 26 times. Figure 2 therefore provides only a descriptive summary of the recorded development results rather than a clean estimate of out-of-sample performance.</w:t>
      </w:r>
    </w:p>
    <w:p w14:paraId="7D62D897" w14:textId="77777777" w:rsidR="00335172" w:rsidRDefault="00000000">
      <w:pPr>
        <w:pStyle w:val="TableCaption"/>
        <w:keepLines/>
        <w:spacing w:before="80" w:after="80" w:line="240" w:lineRule="auto"/>
      </w:pPr>
      <w:r>
        <w:rPr>
          <w:rFonts w:eastAsia="Arial" w:cs="Arial"/>
        </w:rPr>
        <w:t>Table 5. Hurst-feature ablation</w:t>
      </w:r>
    </w:p>
    <w:tbl>
      <w:tblPr>
        <w:tblW w:w="9809" w:type="dxa"/>
        <w:jc w:val="center"/>
        <w:tblBorders>
          <w:top w:val="single" w:sz="3" w:space="0" w:color="AAB6C2"/>
          <w:left w:val="single" w:sz="3" w:space="0" w:color="AAB6C2"/>
          <w:bottom w:val="single" w:sz="3" w:space="0" w:color="AAB6C2"/>
          <w:right w:val="single" w:sz="3" w:space="0" w:color="AAB6C2"/>
          <w:insideH w:val="single" w:sz="3" w:space="0" w:color="AAB6C2"/>
          <w:insideV w:val="single" w:sz="3" w:space="0" w:color="AAB6C2"/>
        </w:tblBorders>
        <w:tblLayout w:type="fixed"/>
        <w:tblLook w:val="04A0" w:firstRow="1" w:lastRow="0" w:firstColumn="1" w:lastColumn="0" w:noHBand="0" w:noVBand="1"/>
      </w:tblPr>
      <w:tblGrid>
        <w:gridCol w:w="2159"/>
        <w:gridCol w:w="1275"/>
        <w:gridCol w:w="1275"/>
        <w:gridCol w:w="1275"/>
        <w:gridCol w:w="1275"/>
        <w:gridCol w:w="2550"/>
      </w:tblGrid>
      <w:tr w:rsidR="00335172" w14:paraId="66427913" w14:textId="77777777">
        <w:trPr>
          <w:tblHeader/>
          <w:jc w:val="center"/>
        </w:trPr>
        <w:tc>
          <w:tcPr>
            <w:tcW w:w="2158" w:type="dxa"/>
            <w:shd w:val="clear" w:color="auto" w:fill="EAF0F6"/>
            <w:tcMar>
              <w:top w:w="45" w:type="dxa"/>
              <w:left w:w="55" w:type="dxa"/>
              <w:bottom w:w="45" w:type="dxa"/>
              <w:right w:w="55" w:type="dxa"/>
            </w:tcMar>
            <w:vAlign w:val="center"/>
          </w:tcPr>
          <w:p w14:paraId="541C2006" w14:textId="77777777" w:rsidR="00335172" w:rsidRDefault="00000000">
            <w:pPr>
              <w:spacing w:after="0" w:line="240" w:lineRule="auto"/>
              <w:jc w:val="center"/>
            </w:pPr>
            <w:r>
              <w:rPr>
                <w:b/>
                <w:color w:val="000000"/>
                <w:sz w:val="16"/>
              </w:rPr>
              <w:t>Arm</w:t>
            </w:r>
          </w:p>
        </w:tc>
        <w:tc>
          <w:tcPr>
            <w:tcW w:w="1275" w:type="dxa"/>
            <w:shd w:val="clear" w:color="auto" w:fill="EAF0F6"/>
            <w:tcMar>
              <w:top w:w="45" w:type="dxa"/>
              <w:left w:w="55" w:type="dxa"/>
              <w:bottom w:w="45" w:type="dxa"/>
              <w:right w:w="55" w:type="dxa"/>
            </w:tcMar>
            <w:vAlign w:val="center"/>
          </w:tcPr>
          <w:p w14:paraId="56057A18" w14:textId="77777777" w:rsidR="00335172" w:rsidRDefault="00000000">
            <w:pPr>
              <w:spacing w:after="0" w:line="240" w:lineRule="auto"/>
              <w:jc w:val="center"/>
            </w:pPr>
            <w:r>
              <w:rPr>
                <w:b/>
                <w:color w:val="000000"/>
                <w:sz w:val="16"/>
              </w:rPr>
              <w:t>1 day</w:t>
            </w:r>
          </w:p>
        </w:tc>
        <w:tc>
          <w:tcPr>
            <w:tcW w:w="1275" w:type="dxa"/>
            <w:shd w:val="clear" w:color="auto" w:fill="EAF0F6"/>
            <w:tcMar>
              <w:top w:w="45" w:type="dxa"/>
              <w:left w:w="55" w:type="dxa"/>
              <w:bottom w:w="45" w:type="dxa"/>
              <w:right w:w="55" w:type="dxa"/>
            </w:tcMar>
            <w:vAlign w:val="center"/>
          </w:tcPr>
          <w:p w14:paraId="2B29C47C" w14:textId="77777777" w:rsidR="00335172" w:rsidRDefault="00000000">
            <w:pPr>
              <w:spacing w:after="0" w:line="240" w:lineRule="auto"/>
              <w:jc w:val="center"/>
            </w:pPr>
            <w:r>
              <w:rPr>
                <w:b/>
                <w:color w:val="000000"/>
                <w:sz w:val="16"/>
              </w:rPr>
              <w:t>5 days</w:t>
            </w:r>
          </w:p>
        </w:tc>
        <w:tc>
          <w:tcPr>
            <w:tcW w:w="1275" w:type="dxa"/>
            <w:shd w:val="clear" w:color="auto" w:fill="EAF0F6"/>
            <w:tcMar>
              <w:top w:w="45" w:type="dxa"/>
              <w:left w:w="55" w:type="dxa"/>
              <w:bottom w:w="45" w:type="dxa"/>
              <w:right w:w="55" w:type="dxa"/>
            </w:tcMar>
            <w:vAlign w:val="center"/>
          </w:tcPr>
          <w:p w14:paraId="7C6393BF" w14:textId="77777777" w:rsidR="00335172" w:rsidRDefault="00000000">
            <w:pPr>
              <w:spacing w:after="0" w:line="240" w:lineRule="auto"/>
              <w:jc w:val="center"/>
            </w:pPr>
            <w:r>
              <w:rPr>
                <w:b/>
                <w:color w:val="000000"/>
                <w:sz w:val="16"/>
              </w:rPr>
              <w:t>10 days</w:t>
            </w:r>
          </w:p>
        </w:tc>
        <w:tc>
          <w:tcPr>
            <w:tcW w:w="1275" w:type="dxa"/>
            <w:shd w:val="clear" w:color="auto" w:fill="EAF0F6"/>
            <w:tcMar>
              <w:top w:w="45" w:type="dxa"/>
              <w:left w:w="55" w:type="dxa"/>
              <w:bottom w:w="45" w:type="dxa"/>
              <w:right w:w="55" w:type="dxa"/>
            </w:tcMar>
            <w:vAlign w:val="center"/>
          </w:tcPr>
          <w:p w14:paraId="13280A43" w14:textId="77777777" w:rsidR="00335172" w:rsidRDefault="00000000">
            <w:pPr>
              <w:spacing w:after="0" w:line="240" w:lineRule="auto"/>
              <w:jc w:val="center"/>
            </w:pPr>
            <w:r>
              <w:rPr>
                <w:b/>
                <w:color w:val="000000"/>
                <w:sz w:val="16"/>
              </w:rPr>
              <w:t>20 days</w:t>
            </w:r>
          </w:p>
        </w:tc>
        <w:tc>
          <w:tcPr>
            <w:tcW w:w="2550" w:type="dxa"/>
            <w:shd w:val="clear" w:color="auto" w:fill="EAF0F6"/>
            <w:tcMar>
              <w:top w:w="45" w:type="dxa"/>
              <w:left w:w="55" w:type="dxa"/>
              <w:bottom w:w="45" w:type="dxa"/>
              <w:right w:w="55" w:type="dxa"/>
            </w:tcMar>
            <w:vAlign w:val="center"/>
          </w:tcPr>
          <w:p w14:paraId="021E7A32" w14:textId="77777777" w:rsidR="00335172" w:rsidRDefault="00000000">
            <w:pPr>
              <w:spacing w:after="0" w:line="240" w:lineRule="auto"/>
              <w:jc w:val="center"/>
            </w:pPr>
            <w:r>
              <w:rPr>
                <w:b/>
                <w:color w:val="000000"/>
                <w:sz w:val="16"/>
              </w:rPr>
              <w:t>Decision summary</w:t>
            </w:r>
          </w:p>
        </w:tc>
      </w:tr>
      <w:tr w:rsidR="00335172" w14:paraId="550493FA" w14:textId="77777777">
        <w:trPr>
          <w:cantSplit/>
          <w:jc w:val="center"/>
        </w:trPr>
        <w:tc>
          <w:tcPr>
            <w:tcW w:w="2158" w:type="dxa"/>
            <w:tcMar>
              <w:top w:w="45" w:type="dxa"/>
              <w:left w:w="55" w:type="dxa"/>
              <w:bottom w:w="45" w:type="dxa"/>
              <w:right w:w="55" w:type="dxa"/>
            </w:tcMar>
            <w:vAlign w:val="center"/>
          </w:tcPr>
          <w:p w14:paraId="1F2BAE7D" w14:textId="77777777" w:rsidR="00335172" w:rsidRDefault="00000000">
            <w:pPr>
              <w:spacing w:after="0" w:line="240" w:lineRule="auto"/>
              <w:jc w:val="center"/>
            </w:pPr>
            <w:r>
              <w:rPr>
                <w:color w:val="000000"/>
                <w:sz w:val="16"/>
              </w:rPr>
              <w:t>No Hurst</w:t>
            </w:r>
          </w:p>
        </w:tc>
        <w:tc>
          <w:tcPr>
            <w:tcW w:w="1275" w:type="dxa"/>
            <w:tcMar>
              <w:top w:w="45" w:type="dxa"/>
              <w:left w:w="55" w:type="dxa"/>
              <w:bottom w:w="45" w:type="dxa"/>
              <w:right w:w="55" w:type="dxa"/>
            </w:tcMar>
            <w:vAlign w:val="center"/>
          </w:tcPr>
          <w:p w14:paraId="69D1C10F" w14:textId="77777777" w:rsidR="00335172" w:rsidRDefault="00000000">
            <w:pPr>
              <w:spacing w:after="0" w:line="240" w:lineRule="auto"/>
              <w:jc w:val="center"/>
            </w:pPr>
            <w:r>
              <w:rPr>
                <w:color w:val="000000"/>
                <w:sz w:val="16"/>
              </w:rPr>
              <w:t>52.03</w:t>
            </w:r>
          </w:p>
        </w:tc>
        <w:tc>
          <w:tcPr>
            <w:tcW w:w="1275" w:type="dxa"/>
            <w:tcMar>
              <w:top w:w="45" w:type="dxa"/>
              <w:left w:w="55" w:type="dxa"/>
              <w:bottom w:w="45" w:type="dxa"/>
              <w:right w:w="55" w:type="dxa"/>
            </w:tcMar>
            <w:vAlign w:val="center"/>
          </w:tcPr>
          <w:p w14:paraId="2EE83983" w14:textId="77777777" w:rsidR="00335172" w:rsidRDefault="00000000">
            <w:pPr>
              <w:spacing w:after="0" w:line="240" w:lineRule="auto"/>
              <w:jc w:val="center"/>
            </w:pPr>
            <w:r>
              <w:rPr>
                <w:color w:val="000000"/>
                <w:sz w:val="16"/>
              </w:rPr>
              <w:t>49.25</w:t>
            </w:r>
          </w:p>
        </w:tc>
        <w:tc>
          <w:tcPr>
            <w:tcW w:w="1275" w:type="dxa"/>
            <w:tcMar>
              <w:top w:w="45" w:type="dxa"/>
              <w:left w:w="55" w:type="dxa"/>
              <w:bottom w:w="45" w:type="dxa"/>
              <w:right w:w="55" w:type="dxa"/>
            </w:tcMar>
            <w:vAlign w:val="center"/>
          </w:tcPr>
          <w:p w14:paraId="1DF320FF" w14:textId="77777777" w:rsidR="00335172" w:rsidRDefault="00000000">
            <w:pPr>
              <w:spacing w:after="0" w:line="240" w:lineRule="auto"/>
              <w:jc w:val="center"/>
            </w:pPr>
            <w:r>
              <w:rPr>
                <w:color w:val="000000"/>
                <w:sz w:val="16"/>
              </w:rPr>
              <w:t>49.91</w:t>
            </w:r>
          </w:p>
        </w:tc>
        <w:tc>
          <w:tcPr>
            <w:tcW w:w="1275" w:type="dxa"/>
            <w:tcMar>
              <w:top w:w="45" w:type="dxa"/>
              <w:left w:w="55" w:type="dxa"/>
              <w:bottom w:w="45" w:type="dxa"/>
              <w:right w:w="55" w:type="dxa"/>
            </w:tcMar>
            <w:vAlign w:val="center"/>
          </w:tcPr>
          <w:p w14:paraId="13459847" w14:textId="77777777" w:rsidR="00335172" w:rsidRDefault="00000000">
            <w:pPr>
              <w:spacing w:after="0" w:line="240" w:lineRule="auto"/>
              <w:jc w:val="center"/>
            </w:pPr>
            <w:r>
              <w:rPr>
                <w:color w:val="000000"/>
                <w:sz w:val="16"/>
              </w:rPr>
              <w:t>47.56</w:t>
            </w:r>
          </w:p>
        </w:tc>
        <w:tc>
          <w:tcPr>
            <w:tcW w:w="2550" w:type="dxa"/>
            <w:tcMar>
              <w:top w:w="45" w:type="dxa"/>
              <w:left w:w="55" w:type="dxa"/>
              <w:bottom w:w="45" w:type="dxa"/>
              <w:right w:w="55" w:type="dxa"/>
            </w:tcMar>
            <w:vAlign w:val="center"/>
          </w:tcPr>
          <w:p w14:paraId="6FEF93C3" w14:textId="77777777" w:rsidR="00335172" w:rsidRDefault="00000000">
            <w:pPr>
              <w:spacing w:after="0" w:line="240" w:lineRule="auto"/>
              <w:jc w:val="center"/>
            </w:pPr>
            <w:r>
              <w:rPr>
                <w:color w:val="000000"/>
                <w:sz w:val="16"/>
              </w:rPr>
              <w:t>All four rejected</w:t>
            </w:r>
          </w:p>
        </w:tc>
      </w:tr>
      <w:tr w:rsidR="00335172" w14:paraId="4A8272FF" w14:textId="77777777">
        <w:trPr>
          <w:cantSplit/>
          <w:jc w:val="center"/>
        </w:trPr>
        <w:tc>
          <w:tcPr>
            <w:tcW w:w="2158" w:type="dxa"/>
            <w:tcMar>
              <w:top w:w="45" w:type="dxa"/>
              <w:left w:w="55" w:type="dxa"/>
              <w:bottom w:w="45" w:type="dxa"/>
              <w:right w:w="55" w:type="dxa"/>
            </w:tcMar>
            <w:vAlign w:val="center"/>
          </w:tcPr>
          <w:p w14:paraId="2BADCCA4" w14:textId="77777777" w:rsidR="00335172" w:rsidRDefault="00000000">
            <w:pPr>
              <w:spacing w:after="0" w:line="240" w:lineRule="auto"/>
              <w:jc w:val="center"/>
            </w:pPr>
            <w:r>
              <w:rPr>
                <w:color w:val="000000"/>
                <w:sz w:val="16"/>
              </w:rPr>
              <w:t>DFA1-Hurst</w:t>
            </w:r>
          </w:p>
        </w:tc>
        <w:tc>
          <w:tcPr>
            <w:tcW w:w="1275" w:type="dxa"/>
            <w:tcMar>
              <w:top w:w="45" w:type="dxa"/>
              <w:left w:w="55" w:type="dxa"/>
              <w:bottom w:w="45" w:type="dxa"/>
              <w:right w:w="55" w:type="dxa"/>
            </w:tcMar>
            <w:vAlign w:val="center"/>
          </w:tcPr>
          <w:p w14:paraId="45907BDB" w14:textId="77777777" w:rsidR="00335172" w:rsidRDefault="00000000">
            <w:pPr>
              <w:spacing w:after="0" w:line="240" w:lineRule="auto"/>
              <w:jc w:val="center"/>
            </w:pPr>
            <w:r>
              <w:rPr>
                <w:color w:val="000000"/>
                <w:sz w:val="16"/>
              </w:rPr>
              <w:t>50.54</w:t>
            </w:r>
          </w:p>
        </w:tc>
        <w:tc>
          <w:tcPr>
            <w:tcW w:w="1275" w:type="dxa"/>
            <w:tcMar>
              <w:top w:w="45" w:type="dxa"/>
              <w:left w:w="55" w:type="dxa"/>
              <w:bottom w:w="45" w:type="dxa"/>
              <w:right w:w="55" w:type="dxa"/>
            </w:tcMar>
            <w:vAlign w:val="center"/>
          </w:tcPr>
          <w:p w14:paraId="52EC56F3" w14:textId="77777777" w:rsidR="00335172" w:rsidRDefault="00000000">
            <w:pPr>
              <w:spacing w:after="0" w:line="240" w:lineRule="auto"/>
              <w:jc w:val="center"/>
            </w:pPr>
            <w:r>
              <w:rPr>
                <w:color w:val="000000"/>
                <w:sz w:val="16"/>
              </w:rPr>
              <w:t>48.26</w:t>
            </w:r>
          </w:p>
        </w:tc>
        <w:tc>
          <w:tcPr>
            <w:tcW w:w="1275" w:type="dxa"/>
            <w:tcMar>
              <w:top w:w="45" w:type="dxa"/>
              <w:left w:w="55" w:type="dxa"/>
              <w:bottom w:w="45" w:type="dxa"/>
              <w:right w:w="55" w:type="dxa"/>
            </w:tcMar>
            <w:vAlign w:val="center"/>
          </w:tcPr>
          <w:p w14:paraId="4FD092AD" w14:textId="77777777" w:rsidR="00335172" w:rsidRDefault="00000000">
            <w:pPr>
              <w:spacing w:after="0" w:line="240" w:lineRule="auto"/>
              <w:jc w:val="center"/>
            </w:pPr>
            <w:r>
              <w:rPr>
                <w:color w:val="000000"/>
                <w:sz w:val="16"/>
              </w:rPr>
              <w:t>48.27</w:t>
            </w:r>
          </w:p>
        </w:tc>
        <w:tc>
          <w:tcPr>
            <w:tcW w:w="1275" w:type="dxa"/>
            <w:tcMar>
              <w:top w:w="45" w:type="dxa"/>
              <w:left w:w="55" w:type="dxa"/>
              <w:bottom w:w="45" w:type="dxa"/>
              <w:right w:w="55" w:type="dxa"/>
            </w:tcMar>
            <w:vAlign w:val="center"/>
          </w:tcPr>
          <w:p w14:paraId="0F97CDFE" w14:textId="77777777" w:rsidR="00335172" w:rsidRDefault="00000000">
            <w:pPr>
              <w:spacing w:after="0" w:line="240" w:lineRule="auto"/>
              <w:jc w:val="center"/>
            </w:pPr>
            <w:r>
              <w:rPr>
                <w:color w:val="000000"/>
                <w:sz w:val="16"/>
              </w:rPr>
              <w:t>48.02</w:t>
            </w:r>
          </w:p>
        </w:tc>
        <w:tc>
          <w:tcPr>
            <w:tcW w:w="2550" w:type="dxa"/>
            <w:tcMar>
              <w:top w:w="45" w:type="dxa"/>
              <w:left w:w="55" w:type="dxa"/>
              <w:bottom w:w="45" w:type="dxa"/>
              <w:right w:w="55" w:type="dxa"/>
            </w:tcMar>
            <w:vAlign w:val="center"/>
          </w:tcPr>
          <w:p w14:paraId="4DC64644" w14:textId="77777777" w:rsidR="00335172" w:rsidRDefault="00000000">
            <w:pPr>
              <w:spacing w:after="0" w:line="240" w:lineRule="auto"/>
              <w:jc w:val="center"/>
            </w:pPr>
            <w:r>
              <w:rPr>
                <w:color w:val="000000"/>
                <w:sz w:val="16"/>
              </w:rPr>
              <w:t>All four rejected</w:t>
            </w:r>
          </w:p>
        </w:tc>
      </w:tr>
      <w:tr w:rsidR="00335172" w14:paraId="166799FB" w14:textId="77777777">
        <w:trPr>
          <w:cantSplit/>
          <w:jc w:val="center"/>
        </w:trPr>
        <w:tc>
          <w:tcPr>
            <w:tcW w:w="2158" w:type="dxa"/>
            <w:tcMar>
              <w:top w:w="45" w:type="dxa"/>
              <w:left w:w="55" w:type="dxa"/>
              <w:bottom w:w="45" w:type="dxa"/>
              <w:right w:w="55" w:type="dxa"/>
            </w:tcMar>
            <w:vAlign w:val="center"/>
          </w:tcPr>
          <w:p w14:paraId="098287BE" w14:textId="77777777" w:rsidR="00335172" w:rsidRDefault="00000000">
            <w:pPr>
              <w:spacing w:after="0" w:line="240" w:lineRule="auto"/>
              <w:jc w:val="center"/>
            </w:pPr>
            <w:r>
              <w:rPr>
                <w:color w:val="000000"/>
                <w:sz w:val="16"/>
              </w:rPr>
              <w:t>Robust Hurst regime</w:t>
            </w:r>
          </w:p>
        </w:tc>
        <w:tc>
          <w:tcPr>
            <w:tcW w:w="1275" w:type="dxa"/>
            <w:tcMar>
              <w:top w:w="45" w:type="dxa"/>
              <w:left w:w="55" w:type="dxa"/>
              <w:bottom w:w="45" w:type="dxa"/>
              <w:right w:w="55" w:type="dxa"/>
            </w:tcMar>
            <w:vAlign w:val="center"/>
          </w:tcPr>
          <w:p w14:paraId="6F9E3519" w14:textId="77777777" w:rsidR="00335172" w:rsidRDefault="00000000">
            <w:pPr>
              <w:spacing w:after="0" w:line="240" w:lineRule="auto"/>
              <w:jc w:val="center"/>
            </w:pPr>
            <w:r>
              <w:rPr>
                <w:color w:val="000000"/>
                <w:sz w:val="16"/>
              </w:rPr>
              <w:t>49.49</w:t>
            </w:r>
          </w:p>
        </w:tc>
        <w:tc>
          <w:tcPr>
            <w:tcW w:w="1275" w:type="dxa"/>
            <w:tcMar>
              <w:top w:w="45" w:type="dxa"/>
              <w:left w:w="55" w:type="dxa"/>
              <w:bottom w:w="45" w:type="dxa"/>
              <w:right w:w="55" w:type="dxa"/>
            </w:tcMar>
            <w:vAlign w:val="center"/>
          </w:tcPr>
          <w:p w14:paraId="2367FF50" w14:textId="77777777" w:rsidR="00335172" w:rsidRDefault="00000000">
            <w:pPr>
              <w:spacing w:after="0" w:line="240" w:lineRule="auto"/>
              <w:jc w:val="center"/>
            </w:pPr>
            <w:r>
              <w:rPr>
                <w:color w:val="000000"/>
                <w:sz w:val="16"/>
              </w:rPr>
              <w:t>50.91</w:t>
            </w:r>
          </w:p>
        </w:tc>
        <w:tc>
          <w:tcPr>
            <w:tcW w:w="1275" w:type="dxa"/>
            <w:tcMar>
              <w:top w:w="45" w:type="dxa"/>
              <w:left w:w="55" w:type="dxa"/>
              <w:bottom w:w="45" w:type="dxa"/>
              <w:right w:w="55" w:type="dxa"/>
            </w:tcMar>
            <w:vAlign w:val="center"/>
          </w:tcPr>
          <w:p w14:paraId="67BA6405" w14:textId="77777777" w:rsidR="00335172" w:rsidRDefault="00000000">
            <w:pPr>
              <w:spacing w:after="0" w:line="240" w:lineRule="auto"/>
              <w:jc w:val="center"/>
            </w:pPr>
            <w:r>
              <w:rPr>
                <w:color w:val="000000"/>
                <w:sz w:val="16"/>
              </w:rPr>
              <w:t>48.64</w:t>
            </w:r>
          </w:p>
        </w:tc>
        <w:tc>
          <w:tcPr>
            <w:tcW w:w="1275" w:type="dxa"/>
            <w:tcMar>
              <w:top w:w="45" w:type="dxa"/>
              <w:left w:w="55" w:type="dxa"/>
              <w:bottom w:w="45" w:type="dxa"/>
              <w:right w:w="55" w:type="dxa"/>
            </w:tcMar>
            <w:vAlign w:val="center"/>
          </w:tcPr>
          <w:p w14:paraId="749C0A5A" w14:textId="77777777" w:rsidR="00335172" w:rsidRDefault="00000000">
            <w:pPr>
              <w:spacing w:after="0" w:line="240" w:lineRule="auto"/>
              <w:jc w:val="center"/>
            </w:pPr>
            <w:r>
              <w:rPr>
                <w:color w:val="000000"/>
                <w:sz w:val="16"/>
              </w:rPr>
              <w:t>51.24</w:t>
            </w:r>
          </w:p>
        </w:tc>
        <w:tc>
          <w:tcPr>
            <w:tcW w:w="2550" w:type="dxa"/>
            <w:tcMar>
              <w:top w:w="45" w:type="dxa"/>
              <w:left w:w="55" w:type="dxa"/>
              <w:bottom w:w="45" w:type="dxa"/>
              <w:right w:w="55" w:type="dxa"/>
            </w:tcMar>
            <w:vAlign w:val="center"/>
          </w:tcPr>
          <w:p w14:paraId="2146062C" w14:textId="77777777" w:rsidR="00335172" w:rsidRDefault="00000000">
            <w:pPr>
              <w:spacing w:after="0" w:line="240" w:lineRule="auto"/>
              <w:jc w:val="center"/>
            </w:pPr>
            <w:r>
              <w:rPr>
                <w:color w:val="000000"/>
                <w:sz w:val="16"/>
              </w:rPr>
              <w:t>All four rejected</w:t>
            </w:r>
          </w:p>
        </w:tc>
      </w:tr>
    </w:tbl>
    <w:p w14:paraId="1F8AFD6A" w14:textId="77777777" w:rsidR="00335172" w:rsidRDefault="00000000">
      <w:pPr>
        <w:pStyle w:val="SourceNote"/>
        <w:spacing w:before="80" w:after="120" w:line="240" w:lineRule="auto"/>
      </w:pPr>
      <w:r>
        <w:t>Source: 12-trial ablation record; values are descriptive because of the calibration-boundary defect.</w:t>
      </w:r>
    </w:p>
    <w:p w14:paraId="32288D12" w14:textId="77777777" w:rsidR="00335172" w:rsidRDefault="00000000">
      <w:pPr>
        <w:spacing w:before="80"/>
      </w:pPr>
      <w:r>
        <w:rPr>
          <w:noProof/>
          <w:color w:val="000000"/>
        </w:rPr>
        <w:drawing>
          <wp:inline distT="0" distB="0" distL="0" distR="0" wp14:anchorId="6A159421" wp14:editId="58E09EF6">
            <wp:extent cx="5616000" cy="29406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rst_ablation_balanced_accuracy.png"/>
                    <pic:cNvPicPr/>
                  </pic:nvPicPr>
                  <pic:blipFill>
                    <a:blip r:embed="rId9"/>
                    <a:stretch>
                      <a:fillRect/>
                    </a:stretch>
                  </pic:blipFill>
                  <pic:spPr>
                    <a:xfrm>
                      <a:off x="0" y="0"/>
                      <a:ext cx="5616000" cy="2940661"/>
                    </a:xfrm>
                    <a:prstGeom prst="rect">
                      <a:avLst/>
                    </a:prstGeom>
                  </pic:spPr>
                </pic:pic>
              </a:graphicData>
            </a:graphic>
          </wp:inline>
        </w:drawing>
      </w:r>
    </w:p>
    <w:p w14:paraId="58B8C2E7" w14:textId="77777777" w:rsidR="00335172" w:rsidRDefault="00000000">
      <w:pPr>
        <w:pStyle w:val="FigureCaption"/>
        <w:spacing w:after="160" w:line="240" w:lineRule="auto"/>
      </w:pPr>
      <w:r>
        <w:rPr>
          <w:color w:val="5C6269"/>
        </w:rPr>
        <w:t>Figure 2. Balanced accuracy across Hurst-feature ablation arms</w:t>
      </w:r>
    </w:p>
    <w:p w14:paraId="431A102E" w14:textId="77777777" w:rsidR="00335172" w:rsidRDefault="00000000">
      <w:pPr>
        <w:pStyle w:val="Heading2"/>
        <w:spacing w:before="240" w:after="120"/>
      </w:pPr>
      <w:r>
        <w:t>4.4 Software quality assurance versus scientific validity</w:t>
      </w:r>
    </w:p>
    <w:p w14:paraId="59EB7CA4" w14:textId="77777777" w:rsidR="00335172" w:rsidRDefault="00000000">
      <w:r>
        <w:t>The 82 passed automated tests show that the implementation satisfied the software contracts covered by those tests. They do not establish that the target is economically meaningful, that the sample is representative, or that the ablation is free from the documented calibration-boundary defect. This distinction is essential: engineering correctness is necessary for a forecasting claim, but it is not sufficient evidence for statistical or economic validity.</w:t>
      </w:r>
    </w:p>
    <w:p w14:paraId="3A1987CE" w14:textId="77777777" w:rsidR="00335172" w:rsidRDefault="00000000">
      <w:pPr>
        <w:pStyle w:val="Heading2"/>
        <w:spacing w:before="240" w:after="120"/>
      </w:pPr>
      <w:r>
        <w:t>4.5 Comparison with previous studies</w:t>
      </w:r>
    </w:p>
    <w:p w14:paraId="007BB6B7" w14:textId="77777777" w:rsidR="00335172" w:rsidRDefault="00000000">
      <w:r>
        <w:t>A numerical comparison with previous studies is meaningful only when the asset, target, forecast horizon, data source, temporal split, and evaluation metric are sufficiently aligned. The studies summarized in Table 6 use different combinations of these elements. Their findings are therefore presented as contextual evidence and sources of methodological motivation, while the internal no-Hurst versus Hurst comparison remains the primary controlled comparison in this study.</w:t>
      </w:r>
    </w:p>
    <w:p w14:paraId="251D4BE5" w14:textId="77777777" w:rsidR="00335172" w:rsidRDefault="00000000">
      <w:r>
        <w:t xml:space="preserve">The contrast with prior work is informative even without a pooled numerical ranking. Qian and Rasheed (2004) report greater neural-network accuracy for financial series with larger Hurst values, whereas the present controlled XAUUSD experiment does not identify stable incremental value from Hurst features. Yang et al. (2024) report improved global gold-price prediction using a Hurst-reconfiguration architecture, but their markets, targets, reconfiguration procedure, and experimental protocol differ from those used here. Cohen and Aiche (2023) and Das et al. (2022) further illustrate why </w:t>
      </w:r>
      <w:r>
        <w:lastRenderedPageBreak/>
        <w:t>gold-forecasting results must be interpreted in relation to their target definitions and evaluation designs. The present study does not claim that these earlier findings are incorrect; rather, it shows that they cannot serve as direct performance baselines for the current protocol.</w:t>
      </w:r>
    </w:p>
    <w:p w14:paraId="6FF5599F" w14:textId="77777777" w:rsidR="00335172" w:rsidRDefault="00000000">
      <w:pPr>
        <w:pStyle w:val="TableCaption"/>
        <w:keepLines/>
        <w:spacing w:before="80" w:after="80" w:line="240" w:lineRule="auto"/>
      </w:pPr>
      <w:r>
        <w:rPr>
          <w:rFonts w:eastAsia="Arial" w:cs="Arial"/>
        </w:rPr>
        <w:t>Table 6. Contextual comparison with previous studies</w:t>
      </w:r>
    </w:p>
    <w:tbl>
      <w:tblPr>
        <w:tblW w:w="9809" w:type="dxa"/>
        <w:jc w:val="center"/>
        <w:tblBorders>
          <w:top w:val="single" w:sz="3" w:space="0" w:color="AAB6C2"/>
          <w:left w:val="single" w:sz="3" w:space="0" w:color="AAB6C2"/>
          <w:bottom w:val="single" w:sz="3" w:space="0" w:color="AAB6C2"/>
          <w:right w:val="single" w:sz="3" w:space="0" w:color="AAB6C2"/>
          <w:insideH w:val="single" w:sz="3" w:space="0" w:color="AAB6C2"/>
          <w:insideV w:val="single" w:sz="3" w:space="0" w:color="AAB6C2"/>
        </w:tblBorders>
        <w:tblLayout w:type="fixed"/>
        <w:tblLook w:val="04A0" w:firstRow="1" w:lastRow="0" w:firstColumn="1" w:lastColumn="0" w:noHBand="0" w:noVBand="1"/>
      </w:tblPr>
      <w:tblGrid>
        <w:gridCol w:w="1765"/>
        <w:gridCol w:w="1765"/>
        <w:gridCol w:w="1766"/>
        <w:gridCol w:w="2453"/>
        <w:gridCol w:w="2060"/>
      </w:tblGrid>
      <w:tr w:rsidR="00335172" w14:paraId="1F9AE265" w14:textId="77777777">
        <w:trPr>
          <w:tblHeader/>
          <w:jc w:val="center"/>
        </w:trPr>
        <w:tc>
          <w:tcPr>
            <w:tcW w:w="1765" w:type="dxa"/>
            <w:shd w:val="clear" w:color="auto" w:fill="EAF0F6"/>
            <w:tcMar>
              <w:top w:w="45" w:type="dxa"/>
              <w:left w:w="55" w:type="dxa"/>
              <w:bottom w:w="45" w:type="dxa"/>
              <w:right w:w="55" w:type="dxa"/>
            </w:tcMar>
            <w:vAlign w:val="center"/>
          </w:tcPr>
          <w:p w14:paraId="327C0E67" w14:textId="77777777" w:rsidR="00335172" w:rsidRDefault="00000000">
            <w:pPr>
              <w:spacing w:after="0" w:line="240" w:lineRule="auto"/>
              <w:jc w:val="left"/>
            </w:pPr>
            <w:r>
              <w:rPr>
                <w:b/>
                <w:color w:val="000000"/>
                <w:sz w:val="16"/>
              </w:rPr>
              <w:t>Study</w:t>
            </w:r>
          </w:p>
        </w:tc>
        <w:tc>
          <w:tcPr>
            <w:tcW w:w="1765" w:type="dxa"/>
            <w:shd w:val="clear" w:color="auto" w:fill="EAF0F6"/>
            <w:tcMar>
              <w:top w:w="45" w:type="dxa"/>
              <w:left w:w="55" w:type="dxa"/>
              <w:bottom w:w="45" w:type="dxa"/>
              <w:right w:w="55" w:type="dxa"/>
            </w:tcMar>
            <w:vAlign w:val="center"/>
          </w:tcPr>
          <w:p w14:paraId="5C415B5C" w14:textId="77777777" w:rsidR="00335172" w:rsidRDefault="00000000">
            <w:pPr>
              <w:spacing w:after="0" w:line="240" w:lineRule="auto"/>
              <w:jc w:val="left"/>
            </w:pPr>
            <w:r>
              <w:rPr>
                <w:b/>
                <w:color w:val="000000"/>
                <w:sz w:val="16"/>
              </w:rPr>
              <w:t>Market/data</w:t>
            </w:r>
          </w:p>
        </w:tc>
        <w:tc>
          <w:tcPr>
            <w:tcW w:w="1765" w:type="dxa"/>
            <w:shd w:val="clear" w:color="auto" w:fill="EAF0F6"/>
            <w:tcMar>
              <w:top w:w="45" w:type="dxa"/>
              <w:left w:w="55" w:type="dxa"/>
              <w:bottom w:w="45" w:type="dxa"/>
              <w:right w:w="55" w:type="dxa"/>
            </w:tcMar>
            <w:vAlign w:val="center"/>
          </w:tcPr>
          <w:p w14:paraId="525ABF5F" w14:textId="77777777" w:rsidR="00335172" w:rsidRDefault="00000000">
            <w:pPr>
              <w:spacing w:after="0" w:line="240" w:lineRule="auto"/>
              <w:jc w:val="left"/>
            </w:pPr>
            <w:r>
              <w:rPr>
                <w:b/>
                <w:color w:val="000000"/>
                <w:sz w:val="16"/>
              </w:rPr>
              <w:t>Method</w:t>
            </w:r>
          </w:p>
        </w:tc>
        <w:tc>
          <w:tcPr>
            <w:tcW w:w="2452" w:type="dxa"/>
            <w:shd w:val="clear" w:color="auto" w:fill="EAF0F6"/>
            <w:tcMar>
              <w:top w:w="45" w:type="dxa"/>
              <w:left w:w="55" w:type="dxa"/>
              <w:bottom w:w="45" w:type="dxa"/>
              <w:right w:w="55" w:type="dxa"/>
            </w:tcMar>
            <w:vAlign w:val="center"/>
          </w:tcPr>
          <w:p w14:paraId="7E6C8F60" w14:textId="77777777" w:rsidR="00335172" w:rsidRDefault="00000000">
            <w:pPr>
              <w:spacing w:after="0" w:line="240" w:lineRule="auto"/>
              <w:jc w:val="left"/>
            </w:pPr>
            <w:r>
              <w:rPr>
                <w:b/>
                <w:color w:val="000000"/>
                <w:sz w:val="16"/>
              </w:rPr>
              <w:t>Reported outcome</w:t>
            </w:r>
          </w:p>
        </w:tc>
        <w:tc>
          <w:tcPr>
            <w:tcW w:w="2059" w:type="dxa"/>
            <w:shd w:val="clear" w:color="auto" w:fill="EAF0F6"/>
            <w:tcMar>
              <w:top w:w="45" w:type="dxa"/>
              <w:left w:w="55" w:type="dxa"/>
              <w:bottom w:w="45" w:type="dxa"/>
              <w:right w:w="55" w:type="dxa"/>
            </w:tcMar>
            <w:vAlign w:val="center"/>
          </w:tcPr>
          <w:p w14:paraId="25C55D59" w14:textId="77777777" w:rsidR="00335172" w:rsidRDefault="00000000">
            <w:pPr>
              <w:spacing w:after="0" w:line="240" w:lineRule="auto"/>
              <w:jc w:val="left"/>
            </w:pPr>
            <w:r>
              <w:rPr>
                <w:b/>
                <w:color w:val="000000"/>
                <w:sz w:val="16"/>
              </w:rPr>
              <w:t>Comparability</w:t>
            </w:r>
          </w:p>
        </w:tc>
      </w:tr>
      <w:tr w:rsidR="00335172" w14:paraId="07A0EE97" w14:textId="77777777">
        <w:trPr>
          <w:cantSplit/>
          <w:jc w:val="center"/>
        </w:trPr>
        <w:tc>
          <w:tcPr>
            <w:tcW w:w="1765" w:type="dxa"/>
            <w:tcMar>
              <w:top w:w="45" w:type="dxa"/>
              <w:left w:w="55" w:type="dxa"/>
              <w:bottom w:w="45" w:type="dxa"/>
              <w:right w:w="55" w:type="dxa"/>
            </w:tcMar>
            <w:vAlign w:val="center"/>
          </w:tcPr>
          <w:p w14:paraId="13EC05F9" w14:textId="77777777" w:rsidR="00335172" w:rsidRDefault="00000000">
            <w:pPr>
              <w:spacing w:after="0" w:line="240" w:lineRule="auto"/>
              <w:jc w:val="left"/>
            </w:pPr>
            <w:r>
              <w:rPr>
                <w:color w:val="000000"/>
                <w:sz w:val="16"/>
              </w:rPr>
              <w:t>Qian &amp; Rasheed (2004)</w:t>
            </w:r>
          </w:p>
        </w:tc>
        <w:tc>
          <w:tcPr>
            <w:tcW w:w="1765" w:type="dxa"/>
            <w:tcMar>
              <w:top w:w="45" w:type="dxa"/>
              <w:left w:w="55" w:type="dxa"/>
              <w:bottom w:w="45" w:type="dxa"/>
              <w:right w:w="55" w:type="dxa"/>
            </w:tcMar>
            <w:vAlign w:val="center"/>
          </w:tcPr>
          <w:p w14:paraId="60ADEDA8" w14:textId="77777777" w:rsidR="00335172" w:rsidRDefault="00000000">
            <w:pPr>
              <w:spacing w:after="0" w:line="240" w:lineRule="auto"/>
              <w:jc w:val="left"/>
            </w:pPr>
            <w:r>
              <w:rPr>
                <w:color w:val="000000"/>
                <w:sz w:val="16"/>
              </w:rPr>
              <w:t>Financial series</w:t>
            </w:r>
          </w:p>
        </w:tc>
        <w:tc>
          <w:tcPr>
            <w:tcW w:w="1765" w:type="dxa"/>
            <w:tcMar>
              <w:top w:w="45" w:type="dxa"/>
              <w:left w:w="55" w:type="dxa"/>
              <w:bottom w:w="45" w:type="dxa"/>
              <w:right w:w="55" w:type="dxa"/>
            </w:tcMar>
            <w:vAlign w:val="center"/>
          </w:tcPr>
          <w:p w14:paraId="0B833BD2" w14:textId="77777777" w:rsidR="00335172" w:rsidRDefault="00000000">
            <w:pPr>
              <w:spacing w:after="0" w:line="240" w:lineRule="auto"/>
              <w:jc w:val="left"/>
            </w:pPr>
            <w:r>
              <w:rPr>
                <w:color w:val="000000"/>
                <w:sz w:val="16"/>
              </w:rPr>
              <w:t>Hurst + backpropagation</w:t>
            </w:r>
          </w:p>
        </w:tc>
        <w:tc>
          <w:tcPr>
            <w:tcW w:w="2452" w:type="dxa"/>
            <w:tcMar>
              <w:top w:w="45" w:type="dxa"/>
              <w:left w:w="55" w:type="dxa"/>
              <w:bottom w:w="45" w:type="dxa"/>
              <w:right w:w="55" w:type="dxa"/>
            </w:tcMar>
            <w:vAlign w:val="center"/>
          </w:tcPr>
          <w:p w14:paraId="449AAF72" w14:textId="77777777" w:rsidR="00335172" w:rsidRDefault="00000000">
            <w:pPr>
              <w:spacing w:after="0" w:line="240" w:lineRule="auto"/>
              <w:jc w:val="left"/>
            </w:pPr>
            <w:r>
              <w:rPr>
                <w:color w:val="000000"/>
                <w:sz w:val="16"/>
              </w:rPr>
              <w:t>Higher accuracy for larger H values</w:t>
            </w:r>
          </w:p>
        </w:tc>
        <w:tc>
          <w:tcPr>
            <w:tcW w:w="2059" w:type="dxa"/>
            <w:tcMar>
              <w:top w:w="45" w:type="dxa"/>
              <w:left w:w="55" w:type="dxa"/>
              <w:bottom w:w="45" w:type="dxa"/>
              <w:right w:w="55" w:type="dxa"/>
            </w:tcMar>
            <w:vAlign w:val="center"/>
          </w:tcPr>
          <w:p w14:paraId="7D497F2D" w14:textId="77777777" w:rsidR="00335172" w:rsidRDefault="00000000">
            <w:pPr>
              <w:spacing w:after="0" w:line="240" w:lineRule="auto"/>
              <w:jc w:val="left"/>
            </w:pPr>
            <w:r>
              <w:rPr>
                <w:color w:val="000000"/>
                <w:sz w:val="16"/>
              </w:rPr>
              <w:t>Conceptual only; different asset and protocol</w:t>
            </w:r>
          </w:p>
        </w:tc>
      </w:tr>
      <w:tr w:rsidR="00335172" w14:paraId="1C8D7CCD" w14:textId="77777777">
        <w:trPr>
          <w:cantSplit/>
          <w:jc w:val="center"/>
        </w:trPr>
        <w:tc>
          <w:tcPr>
            <w:tcW w:w="1765" w:type="dxa"/>
            <w:tcMar>
              <w:top w:w="45" w:type="dxa"/>
              <w:left w:w="55" w:type="dxa"/>
              <w:bottom w:w="45" w:type="dxa"/>
              <w:right w:w="55" w:type="dxa"/>
            </w:tcMar>
            <w:vAlign w:val="center"/>
          </w:tcPr>
          <w:p w14:paraId="43EDD978" w14:textId="77777777" w:rsidR="00335172" w:rsidRDefault="00000000">
            <w:pPr>
              <w:spacing w:after="0" w:line="240" w:lineRule="auto"/>
              <w:jc w:val="left"/>
            </w:pPr>
            <w:r>
              <w:rPr>
                <w:color w:val="000000"/>
                <w:sz w:val="16"/>
              </w:rPr>
              <w:t>Das et al. (2022)</w:t>
            </w:r>
          </w:p>
        </w:tc>
        <w:tc>
          <w:tcPr>
            <w:tcW w:w="1765" w:type="dxa"/>
            <w:tcMar>
              <w:top w:w="45" w:type="dxa"/>
              <w:left w:w="55" w:type="dxa"/>
              <w:bottom w:w="45" w:type="dxa"/>
              <w:right w:w="55" w:type="dxa"/>
            </w:tcMar>
            <w:vAlign w:val="center"/>
          </w:tcPr>
          <w:p w14:paraId="16BC966E" w14:textId="77777777" w:rsidR="00335172" w:rsidRDefault="00000000">
            <w:pPr>
              <w:spacing w:after="0" w:line="240" w:lineRule="auto"/>
              <w:jc w:val="left"/>
            </w:pPr>
            <w:r>
              <w:rPr>
                <w:color w:val="000000"/>
                <w:sz w:val="16"/>
              </w:rPr>
              <w:t>Gold forecasting literature</w:t>
            </w:r>
          </w:p>
        </w:tc>
        <w:tc>
          <w:tcPr>
            <w:tcW w:w="1765" w:type="dxa"/>
            <w:tcMar>
              <w:top w:w="45" w:type="dxa"/>
              <w:left w:w="55" w:type="dxa"/>
              <w:bottom w:w="45" w:type="dxa"/>
              <w:right w:w="55" w:type="dxa"/>
            </w:tcMar>
            <w:vAlign w:val="center"/>
          </w:tcPr>
          <w:p w14:paraId="5BE3B886" w14:textId="77777777" w:rsidR="00335172" w:rsidRDefault="00000000">
            <w:pPr>
              <w:spacing w:after="0" w:line="240" w:lineRule="auto"/>
              <w:jc w:val="left"/>
            </w:pPr>
            <w:r>
              <w:rPr>
                <w:color w:val="000000"/>
                <w:sz w:val="16"/>
              </w:rPr>
              <w:t>Review of ML methods</w:t>
            </w:r>
          </w:p>
        </w:tc>
        <w:tc>
          <w:tcPr>
            <w:tcW w:w="2452" w:type="dxa"/>
            <w:tcMar>
              <w:top w:w="45" w:type="dxa"/>
              <w:left w:w="55" w:type="dxa"/>
              <w:bottom w:w="45" w:type="dxa"/>
              <w:right w:w="55" w:type="dxa"/>
            </w:tcMar>
            <w:vAlign w:val="center"/>
          </w:tcPr>
          <w:p w14:paraId="4A2AE038" w14:textId="77777777" w:rsidR="00335172" w:rsidRDefault="00000000">
            <w:pPr>
              <w:spacing w:after="0" w:line="240" w:lineRule="auto"/>
              <w:jc w:val="left"/>
            </w:pPr>
            <w:r>
              <w:rPr>
                <w:color w:val="000000"/>
                <w:sz w:val="16"/>
              </w:rPr>
              <w:t>Heterogeneous outcomes across studies</w:t>
            </w:r>
          </w:p>
        </w:tc>
        <w:tc>
          <w:tcPr>
            <w:tcW w:w="2059" w:type="dxa"/>
            <w:tcMar>
              <w:top w:w="45" w:type="dxa"/>
              <w:left w:w="55" w:type="dxa"/>
              <w:bottom w:w="45" w:type="dxa"/>
              <w:right w:w="55" w:type="dxa"/>
            </w:tcMar>
            <w:vAlign w:val="center"/>
          </w:tcPr>
          <w:p w14:paraId="69E8A1A1" w14:textId="77777777" w:rsidR="00335172" w:rsidRDefault="00000000">
            <w:pPr>
              <w:spacing w:after="0" w:line="240" w:lineRule="auto"/>
              <w:jc w:val="left"/>
            </w:pPr>
            <w:r>
              <w:rPr>
                <w:color w:val="000000"/>
                <w:sz w:val="16"/>
              </w:rPr>
              <w:t>No single direct baseline</w:t>
            </w:r>
          </w:p>
        </w:tc>
      </w:tr>
      <w:tr w:rsidR="00335172" w14:paraId="74BF5B20" w14:textId="77777777">
        <w:trPr>
          <w:cantSplit/>
          <w:jc w:val="center"/>
        </w:trPr>
        <w:tc>
          <w:tcPr>
            <w:tcW w:w="1765" w:type="dxa"/>
            <w:tcMar>
              <w:top w:w="45" w:type="dxa"/>
              <w:left w:w="55" w:type="dxa"/>
              <w:bottom w:w="45" w:type="dxa"/>
              <w:right w:w="55" w:type="dxa"/>
            </w:tcMar>
            <w:vAlign w:val="center"/>
          </w:tcPr>
          <w:p w14:paraId="7AF979BE" w14:textId="77777777" w:rsidR="00335172" w:rsidRDefault="00000000">
            <w:pPr>
              <w:spacing w:after="0" w:line="240" w:lineRule="auto"/>
              <w:jc w:val="left"/>
            </w:pPr>
            <w:r>
              <w:rPr>
                <w:color w:val="000000"/>
                <w:sz w:val="16"/>
              </w:rPr>
              <w:t>Cohen &amp; Aiche (2023)</w:t>
            </w:r>
          </w:p>
        </w:tc>
        <w:tc>
          <w:tcPr>
            <w:tcW w:w="1765" w:type="dxa"/>
            <w:tcMar>
              <w:top w:w="45" w:type="dxa"/>
              <w:left w:w="55" w:type="dxa"/>
              <w:bottom w:w="45" w:type="dxa"/>
              <w:right w:w="55" w:type="dxa"/>
            </w:tcMar>
            <w:vAlign w:val="center"/>
          </w:tcPr>
          <w:p w14:paraId="4FC073D8" w14:textId="77777777" w:rsidR="00335172" w:rsidRDefault="00000000">
            <w:pPr>
              <w:spacing w:after="0" w:line="240" w:lineRule="auto"/>
              <w:jc w:val="left"/>
            </w:pPr>
            <w:r>
              <w:rPr>
                <w:color w:val="000000"/>
                <w:sz w:val="16"/>
              </w:rPr>
              <w:t>Gold</w:t>
            </w:r>
          </w:p>
        </w:tc>
        <w:tc>
          <w:tcPr>
            <w:tcW w:w="1765" w:type="dxa"/>
            <w:tcMar>
              <w:top w:w="45" w:type="dxa"/>
              <w:left w:w="55" w:type="dxa"/>
              <w:bottom w:w="45" w:type="dxa"/>
              <w:right w:w="55" w:type="dxa"/>
            </w:tcMar>
            <w:vAlign w:val="center"/>
          </w:tcPr>
          <w:p w14:paraId="25290F32" w14:textId="77777777" w:rsidR="00335172" w:rsidRDefault="00000000">
            <w:pPr>
              <w:spacing w:after="0" w:line="240" w:lineRule="auto"/>
              <w:jc w:val="left"/>
            </w:pPr>
            <w:r>
              <w:rPr>
                <w:color w:val="000000"/>
                <w:sz w:val="16"/>
              </w:rPr>
              <w:t>ML price/return forecasting</w:t>
            </w:r>
          </w:p>
        </w:tc>
        <w:tc>
          <w:tcPr>
            <w:tcW w:w="2452" w:type="dxa"/>
            <w:tcMar>
              <w:top w:w="45" w:type="dxa"/>
              <w:left w:w="55" w:type="dxa"/>
              <w:bottom w:w="45" w:type="dxa"/>
              <w:right w:w="55" w:type="dxa"/>
            </w:tcMar>
            <w:vAlign w:val="center"/>
          </w:tcPr>
          <w:p w14:paraId="3338AFF5" w14:textId="77777777" w:rsidR="00335172" w:rsidRDefault="00000000">
            <w:pPr>
              <w:spacing w:after="0" w:line="240" w:lineRule="auto"/>
              <w:jc w:val="left"/>
            </w:pPr>
            <w:r>
              <w:rPr>
                <w:color w:val="000000"/>
                <w:sz w:val="16"/>
              </w:rPr>
              <w:t>Reports model performance using error and direction measures</w:t>
            </w:r>
          </w:p>
        </w:tc>
        <w:tc>
          <w:tcPr>
            <w:tcW w:w="2059" w:type="dxa"/>
            <w:tcMar>
              <w:top w:w="45" w:type="dxa"/>
              <w:left w:w="55" w:type="dxa"/>
              <w:bottom w:w="45" w:type="dxa"/>
              <w:right w:w="55" w:type="dxa"/>
            </w:tcMar>
            <w:vAlign w:val="center"/>
          </w:tcPr>
          <w:p w14:paraId="20C305B9" w14:textId="77777777" w:rsidR="00335172" w:rsidRDefault="00000000">
            <w:pPr>
              <w:spacing w:after="0" w:line="240" w:lineRule="auto"/>
              <w:jc w:val="left"/>
            </w:pPr>
            <w:r>
              <w:rPr>
                <w:color w:val="000000"/>
                <w:sz w:val="16"/>
              </w:rPr>
              <w:t>Target, sample, and split differ</w:t>
            </w:r>
          </w:p>
        </w:tc>
      </w:tr>
      <w:tr w:rsidR="00335172" w14:paraId="5F97CCA6" w14:textId="77777777">
        <w:trPr>
          <w:cantSplit/>
          <w:jc w:val="center"/>
        </w:trPr>
        <w:tc>
          <w:tcPr>
            <w:tcW w:w="1765" w:type="dxa"/>
            <w:tcMar>
              <w:top w:w="45" w:type="dxa"/>
              <w:left w:w="55" w:type="dxa"/>
              <w:bottom w:w="45" w:type="dxa"/>
              <w:right w:w="55" w:type="dxa"/>
            </w:tcMar>
            <w:vAlign w:val="center"/>
          </w:tcPr>
          <w:p w14:paraId="6C17E16B" w14:textId="77777777" w:rsidR="00335172" w:rsidRDefault="00000000">
            <w:pPr>
              <w:spacing w:after="0" w:line="240" w:lineRule="auto"/>
              <w:jc w:val="left"/>
            </w:pPr>
            <w:r>
              <w:rPr>
                <w:color w:val="000000"/>
                <w:sz w:val="16"/>
              </w:rPr>
              <w:t>Yang et al. (2024)</w:t>
            </w:r>
          </w:p>
        </w:tc>
        <w:tc>
          <w:tcPr>
            <w:tcW w:w="1765" w:type="dxa"/>
            <w:tcMar>
              <w:top w:w="45" w:type="dxa"/>
              <w:left w:w="55" w:type="dxa"/>
              <w:bottom w:w="45" w:type="dxa"/>
              <w:right w:w="55" w:type="dxa"/>
            </w:tcMar>
            <w:vAlign w:val="center"/>
          </w:tcPr>
          <w:p w14:paraId="6B2FBD61" w14:textId="77777777" w:rsidR="00335172" w:rsidRDefault="00000000">
            <w:pPr>
              <w:spacing w:after="0" w:line="240" w:lineRule="auto"/>
              <w:jc w:val="left"/>
            </w:pPr>
            <w:r>
              <w:rPr>
                <w:color w:val="000000"/>
                <w:sz w:val="16"/>
              </w:rPr>
              <w:t>China, UK, and US gold</w:t>
            </w:r>
          </w:p>
        </w:tc>
        <w:tc>
          <w:tcPr>
            <w:tcW w:w="1765" w:type="dxa"/>
            <w:tcMar>
              <w:top w:w="45" w:type="dxa"/>
              <w:left w:w="55" w:type="dxa"/>
              <w:bottom w:w="45" w:type="dxa"/>
              <w:right w:w="55" w:type="dxa"/>
            </w:tcMar>
            <w:vAlign w:val="center"/>
          </w:tcPr>
          <w:p w14:paraId="218127A7" w14:textId="77777777" w:rsidR="00335172" w:rsidRDefault="00000000">
            <w:pPr>
              <w:spacing w:after="0" w:line="240" w:lineRule="auto"/>
              <w:jc w:val="left"/>
            </w:pPr>
            <w:r>
              <w:rPr>
                <w:color w:val="000000"/>
                <w:sz w:val="16"/>
              </w:rPr>
              <w:t>Hurst-reconfiguration ML</w:t>
            </w:r>
          </w:p>
        </w:tc>
        <w:tc>
          <w:tcPr>
            <w:tcW w:w="2452" w:type="dxa"/>
            <w:tcMar>
              <w:top w:w="45" w:type="dxa"/>
              <w:left w:w="55" w:type="dxa"/>
              <w:bottom w:w="45" w:type="dxa"/>
              <w:right w:w="55" w:type="dxa"/>
            </w:tcMar>
            <w:vAlign w:val="center"/>
          </w:tcPr>
          <w:p w14:paraId="72DAFD6B" w14:textId="77777777" w:rsidR="00335172" w:rsidRDefault="00000000">
            <w:pPr>
              <w:spacing w:after="0" w:line="240" w:lineRule="auto"/>
              <w:jc w:val="left"/>
            </w:pPr>
            <w:r>
              <w:rPr>
                <w:color w:val="000000"/>
                <w:sz w:val="16"/>
              </w:rPr>
              <w:t>Reports improved prediction versus conventional models</w:t>
            </w:r>
          </w:p>
        </w:tc>
        <w:tc>
          <w:tcPr>
            <w:tcW w:w="2059" w:type="dxa"/>
            <w:tcMar>
              <w:top w:w="45" w:type="dxa"/>
              <w:left w:w="55" w:type="dxa"/>
              <w:bottom w:w="45" w:type="dxa"/>
              <w:right w:w="55" w:type="dxa"/>
            </w:tcMar>
            <w:vAlign w:val="center"/>
          </w:tcPr>
          <w:p w14:paraId="5638E436" w14:textId="77777777" w:rsidR="00335172" w:rsidRDefault="00000000">
            <w:pPr>
              <w:spacing w:after="0" w:line="240" w:lineRule="auto"/>
              <w:jc w:val="left"/>
            </w:pPr>
            <w:r>
              <w:rPr>
                <w:color w:val="000000"/>
                <w:sz w:val="16"/>
              </w:rPr>
              <w:t>Different markets, target, and architecture</w:t>
            </w:r>
          </w:p>
        </w:tc>
      </w:tr>
      <w:tr w:rsidR="00335172" w14:paraId="4BA56F80" w14:textId="77777777">
        <w:trPr>
          <w:cantSplit/>
          <w:jc w:val="center"/>
        </w:trPr>
        <w:tc>
          <w:tcPr>
            <w:tcW w:w="1765" w:type="dxa"/>
            <w:tcMar>
              <w:top w:w="45" w:type="dxa"/>
              <w:left w:w="55" w:type="dxa"/>
              <w:bottom w:w="45" w:type="dxa"/>
              <w:right w:w="55" w:type="dxa"/>
            </w:tcMar>
            <w:vAlign w:val="center"/>
          </w:tcPr>
          <w:p w14:paraId="5D92DEC2" w14:textId="77777777" w:rsidR="00335172" w:rsidRDefault="00000000">
            <w:pPr>
              <w:spacing w:after="0" w:line="240" w:lineRule="auto"/>
              <w:jc w:val="left"/>
            </w:pPr>
            <w:r>
              <w:rPr>
                <w:color w:val="000000"/>
                <w:sz w:val="16"/>
              </w:rPr>
              <w:t>Gu et al. (2020)</w:t>
            </w:r>
          </w:p>
        </w:tc>
        <w:tc>
          <w:tcPr>
            <w:tcW w:w="1765" w:type="dxa"/>
            <w:tcMar>
              <w:top w:w="45" w:type="dxa"/>
              <w:left w:w="55" w:type="dxa"/>
              <w:bottom w:w="45" w:type="dxa"/>
              <w:right w:w="55" w:type="dxa"/>
            </w:tcMar>
            <w:vAlign w:val="center"/>
          </w:tcPr>
          <w:p w14:paraId="6678AC3D" w14:textId="77777777" w:rsidR="00335172" w:rsidRDefault="00000000">
            <w:pPr>
              <w:spacing w:after="0" w:line="240" w:lineRule="auto"/>
              <w:jc w:val="left"/>
            </w:pPr>
            <w:r>
              <w:rPr>
                <w:color w:val="000000"/>
                <w:sz w:val="16"/>
              </w:rPr>
              <w:t>US equities</w:t>
            </w:r>
          </w:p>
        </w:tc>
        <w:tc>
          <w:tcPr>
            <w:tcW w:w="1765" w:type="dxa"/>
            <w:tcMar>
              <w:top w:w="45" w:type="dxa"/>
              <w:left w:w="55" w:type="dxa"/>
              <w:bottom w:w="45" w:type="dxa"/>
              <w:right w:w="55" w:type="dxa"/>
            </w:tcMar>
            <w:vAlign w:val="center"/>
          </w:tcPr>
          <w:p w14:paraId="3E74925A" w14:textId="77777777" w:rsidR="00335172" w:rsidRDefault="00000000">
            <w:pPr>
              <w:spacing w:after="0" w:line="240" w:lineRule="auto"/>
              <w:jc w:val="left"/>
            </w:pPr>
            <w:r>
              <w:rPr>
                <w:color w:val="000000"/>
                <w:sz w:val="16"/>
              </w:rPr>
              <w:t>Cross-sectional ML asset pricing</w:t>
            </w:r>
          </w:p>
        </w:tc>
        <w:tc>
          <w:tcPr>
            <w:tcW w:w="2452" w:type="dxa"/>
            <w:tcMar>
              <w:top w:w="45" w:type="dxa"/>
              <w:left w:w="55" w:type="dxa"/>
              <w:bottom w:w="45" w:type="dxa"/>
              <w:right w:w="55" w:type="dxa"/>
            </w:tcMar>
            <w:vAlign w:val="center"/>
          </w:tcPr>
          <w:p w14:paraId="191F59A5" w14:textId="77777777" w:rsidR="00335172" w:rsidRDefault="00000000">
            <w:pPr>
              <w:spacing w:after="0" w:line="240" w:lineRule="auto"/>
              <w:jc w:val="left"/>
            </w:pPr>
            <w:r>
              <w:rPr>
                <w:color w:val="000000"/>
                <w:sz w:val="16"/>
              </w:rPr>
              <w:t>Small-signal predictability evaluated with R² and returns</w:t>
            </w:r>
          </w:p>
        </w:tc>
        <w:tc>
          <w:tcPr>
            <w:tcW w:w="2059" w:type="dxa"/>
            <w:tcMar>
              <w:top w:w="45" w:type="dxa"/>
              <w:left w:w="55" w:type="dxa"/>
              <w:bottom w:w="45" w:type="dxa"/>
              <w:right w:w="55" w:type="dxa"/>
            </w:tcMar>
            <w:vAlign w:val="center"/>
          </w:tcPr>
          <w:p w14:paraId="62BEC556" w14:textId="77777777" w:rsidR="00335172" w:rsidRDefault="00000000">
            <w:pPr>
              <w:spacing w:after="0" w:line="240" w:lineRule="auto"/>
              <w:jc w:val="left"/>
            </w:pPr>
            <w:r>
              <w:rPr>
                <w:color w:val="000000"/>
                <w:sz w:val="16"/>
              </w:rPr>
              <w:t>Different asset and monthly target</w:t>
            </w:r>
          </w:p>
        </w:tc>
      </w:tr>
      <w:tr w:rsidR="00335172" w14:paraId="19787D30" w14:textId="77777777">
        <w:trPr>
          <w:cantSplit/>
          <w:jc w:val="center"/>
        </w:trPr>
        <w:tc>
          <w:tcPr>
            <w:tcW w:w="1765" w:type="dxa"/>
            <w:tcMar>
              <w:top w:w="45" w:type="dxa"/>
              <w:left w:w="55" w:type="dxa"/>
              <w:bottom w:w="45" w:type="dxa"/>
              <w:right w:w="55" w:type="dxa"/>
            </w:tcMar>
            <w:vAlign w:val="center"/>
          </w:tcPr>
          <w:p w14:paraId="24B353A0" w14:textId="77777777" w:rsidR="00335172" w:rsidRDefault="00000000">
            <w:pPr>
              <w:spacing w:after="0" w:line="240" w:lineRule="auto"/>
              <w:jc w:val="left"/>
            </w:pPr>
            <w:r>
              <w:rPr>
                <w:color w:val="000000"/>
                <w:sz w:val="16"/>
              </w:rPr>
              <w:t>Peng &amp; de Moraes Souza (2024)</w:t>
            </w:r>
          </w:p>
        </w:tc>
        <w:tc>
          <w:tcPr>
            <w:tcW w:w="1765" w:type="dxa"/>
            <w:tcMar>
              <w:top w:w="45" w:type="dxa"/>
              <w:left w:w="55" w:type="dxa"/>
              <w:bottom w:w="45" w:type="dxa"/>
              <w:right w:w="55" w:type="dxa"/>
            </w:tcMar>
            <w:vAlign w:val="center"/>
          </w:tcPr>
          <w:p w14:paraId="0E9BD79A" w14:textId="77777777" w:rsidR="00335172" w:rsidRDefault="00000000">
            <w:pPr>
              <w:spacing w:after="0" w:line="240" w:lineRule="auto"/>
              <w:jc w:val="left"/>
            </w:pPr>
            <w:r>
              <w:rPr>
                <w:color w:val="000000"/>
                <w:sz w:val="16"/>
              </w:rPr>
              <w:t>Financial markets</w:t>
            </w:r>
          </w:p>
        </w:tc>
        <w:tc>
          <w:tcPr>
            <w:tcW w:w="1765" w:type="dxa"/>
            <w:tcMar>
              <w:top w:w="45" w:type="dxa"/>
              <w:left w:w="55" w:type="dxa"/>
              <w:bottom w:w="45" w:type="dxa"/>
              <w:right w:w="55" w:type="dxa"/>
            </w:tcMar>
            <w:vAlign w:val="center"/>
          </w:tcPr>
          <w:p w14:paraId="0BAAE473" w14:textId="77777777" w:rsidR="00335172" w:rsidRDefault="00000000">
            <w:pPr>
              <w:spacing w:after="0" w:line="240" w:lineRule="auto"/>
              <w:jc w:val="left"/>
            </w:pPr>
            <w:r>
              <w:rPr>
                <w:color w:val="000000"/>
                <w:sz w:val="16"/>
              </w:rPr>
              <w:t>ML, overfitting, and equilibrium</w:t>
            </w:r>
          </w:p>
        </w:tc>
        <w:tc>
          <w:tcPr>
            <w:tcW w:w="2452" w:type="dxa"/>
            <w:tcMar>
              <w:top w:w="45" w:type="dxa"/>
              <w:left w:w="55" w:type="dxa"/>
              <w:bottom w:w="45" w:type="dxa"/>
              <w:right w:w="55" w:type="dxa"/>
            </w:tcMar>
            <w:vAlign w:val="center"/>
          </w:tcPr>
          <w:p w14:paraId="360AB76A" w14:textId="77777777" w:rsidR="00335172" w:rsidRDefault="00000000">
            <w:pPr>
              <w:spacing w:after="0" w:line="240" w:lineRule="auto"/>
              <w:jc w:val="left"/>
            </w:pPr>
            <w:r>
              <w:rPr>
                <w:sz w:val="16"/>
              </w:rPr>
              <w:t>Cautions against interpreting apparent performance without robust out-of-sample evidence</w:t>
            </w:r>
          </w:p>
        </w:tc>
        <w:tc>
          <w:tcPr>
            <w:tcW w:w="2059" w:type="dxa"/>
            <w:tcMar>
              <w:top w:w="45" w:type="dxa"/>
              <w:left w:w="55" w:type="dxa"/>
              <w:bottom w:w="45" w:type="dxa"/>
              <w:right w:w="55" w:type="dxa"/>
            </w:tcMar>
            <w:vAlign w:val="center"/>
          </w:tcPr>
          <w:p w14:paraId="542B3AB8" w14:textId="77777777" w:rsidR="00335172" w:rsidRDefault="00000000">
            <w:pPr>
              <w:spacing w:after="0" w:line="240" w:lineRule="auto"/>
              <w:jc w:val="left"/>
            </w:pPr>
            <w:r>
              <w:rPr>
                <w:color w:val="000000"/>
                <w:sz w:val="16"/>
              </w:rPr>
              <w:t>Methodological context, not a gold baseline</w:t>
            </w:r>
          </w:p>
        </w:tc>
      </w:tr>
      <w:tr w:rsidR="00335172" w14:paraId="36D19466" w14:textId="77777777">
        <w:trPr>
          <w:cantSplit/>
          <w:jc w:val="center"/>
        </w:trPr>
        <w:tc>
          <w:tcPr>
            <w:tcW w:w="1765" w:type="dxa"/>
            <w:tcMar>
              <w:top w:w="45" w:type="dxa"/>
              <w:left w:w="55" w:type="dxa"/>
              <w:bottom w:w="45" w:type="dxa"/>
              <w:right w:w="55" w:type="dxa"/>
            </w:tcMar>
            <w:vAlign w:val="center"/>
          </w:tcPr>
          <w:p w14:paraId="3E6753D5" w14:textId="77777777" w:rsidR="00335172" w:rsidRDefault="00000000">
            <w:pPr>
              <w:spacing w:after="0" w:line="240" w:lineRule="auto"/>
              <w:jc w:val="left"/>
            </w:pPr>
            <w:r>
              <w:rPr>
                <w:color w:val="000000"/>
                <w:sz w:val="16"/>
              </w:rPr>
              <w:t>Present study</w:t>
            </w:r>
          </w:p>
        </w:tc>
        <w:tc>
          <w:tcPr>
            <w:tcW w:w="1765" w:type="dxa"/>
            <w:tcMar>
              <w:top w:w="45" w:type="dxa"/>
              <w:left w:w="55" w:type="dxa"/>
              <w:bottom w:w="45" w:type="dxa"/>
              <w:right w:w="55" w:type="dxa"/>
            </w:tcMar>
            <w:vAlign w:val="center"/>
          </w:tcPr>
          <w:p w14:paraId="1D07F177" w14:textId="77777777" w:rsidR="00335172" w:rsidRDefault="00000000">
            <w:pPr>
              <w:spacing w:after="0" w:line="240" w:lineRule="auto"/>
              <w:jc w:val="left"/>
            </w:pPr>
            <w:r>
              <w:rPr>
                <w:color w:val="000000"/>
                <w:sz w:val="16"/>
              </w:rPr>
              <w:t>Daily XAUUSD</w:t>
            </w:r>
          </w:p>
        </w:tc>
        <w:tc>
          <w:tcPr>
            <w:tcW w:w="1765" w:type="dxa"/>
            <w:tcMar>
              <w:top w:w="45" w:type="dxa"/>
              <w:left w:w="55" w:type="dxa"/>
              <w:bottom w:w="45" w:type="dxa"/>
              <w:right w:w="55" w:type="dxa"/>
            </w:tcMar>
            <w:vAlign w:val="center"/>
          </w:tcPr>
          <w:p w14:paraId="54C728F6" w14:textId="77777777" w:rsidR="00335172" w:rsidRDefault="00000000">
            <w:pPr>
              <w:spacing w:after="0" w:line="240" w:lineRule="auto"/>
              <w:jc w:val="left"/>
            </w:pPr>
            <w:r>
              <w:rPr>
                <w:color w:val="000000"/>
                <w:sz w:val="16"/>
              </w:rPr>
              <w:t>Purged walk-forward ML with Hurst ablation</w:t>
            </w:r>
          </w:p>
        </w:tc>
        <w:tc>
          <w:tcPr>
            <w:tcW w:w="2452" w:type="dxa"/>
            <w:tcMar>
              <w:top w:w="45" w:type="dxa"/>
              <w:left w:w="55" w:type="dxa"/>
              <w:bottom w:w="45" w:type="dxa"/>
              <w:right w:w="55" w:type="dxa"/>
            </w:tcMar>
            <w:vAlign w:val="center"/>
          </w:tcPr>
          <w:p w14:paraId="777B5130" w14:textId="77777777" w:rsidR="00335172" w:rsidRDefault="00000000">
            <w:pPr>
              <w:spacing w:after="0" w:line="240" w:lineRule="auto"/>
              <w:jc w:val="left"/>
            </w:pPr>
            <w:r>
              <w:rPr>
                <w:sz w:val="16"/>
              </w:rPr>
              <w:t>50.38–52.19% historical balanced accuracy; no stable incremental Hurst value</w:t>
            </w:r>
          </w:p>
        </w:tc>
        <w:tc>
          <w:tcPr>
            <w:tcW w:w="2059" w:type="dxa"/>
            <w:tcMar>
              <w:top w:w="45" w:type="dxa"/>
              <w:left w:w="55" w:type="dxa"/>
              <w:bottom w:w="45" w:type="dxa"/>
              <w:right w:w="55" w:type="dxa"/>
            </w:tcMar>
            <w:vAlign w:val="center"/>
          </w:tcPr>
          <w:p w14:paraId="50E686E3" w14:textId="77777777" w:rsidR="00335172" w:rsidRDefault="00000000">
            <w:pPr>
              <w:spacing w:after="0" w:line="240" w:lineRule="auto"/>
              <w:jc w:val="left"/>
            </w:pPr>
            <w:r>
              <w:rPr>
                <w:color w:val="000000"/>
                <w:sz w:val="16"/>
              </w:rPr>
              <w:t>Primary internal comparison</w:t>
            </w:r>
          </w:p>
        </w:tc>
      </w:tr>
    </w:tbl>
    <w:p w14:paraId="2136D00B" w14:textId="77777777" w:rsidR="00335172" w:rsidRDefault="00000000">
      <w:pPr>
        <w:pStyle w:val="SourceNote"/>
        <w:spacing w:before="80" w:after="120" w:line="240" w:lineRule="auto"/>
      </w:pPr>
      <w:r>
        <w:t>Source: Authors' synthesis; cross-study numbers are not pooled because the designs differ.</w:t>
      </w:r>
    </w:p>
    <w:p w14:paraId="4ED7F84F" w14:textId="77777777" w:rsidR="00335172" w:rsidRDefault="00000000">
      <w:pPr>
        <w:pStyle w:val="Heading1"/>
        <w:spacing w:before="320" w:after="160"/>
      </w:pPr>
      <w:r>
        <w:rPr>
          <w:rFonts w:ascii="Arial" w:eastAsia="Arial" w:hAnsi="Arial" w:cs="Arial"/>
          <w:sz w:val="24"/>
        </w:rPr>
        <w:t>5. Discussion</w:t>
      </w:r>
    </w:p>
    <w:p w14:paraId="4E5DBF06" w14:textId="77777777" w:rsidR="00335172" w:rsidRDefault="00000000">
      <w:pPr>
        <w:pStyle w:val="Heading2"/>
        <w:spacing w:before="240" w:after="120"/>
      </w:pPr>
      <w:r>
        <w:t>5.1 Answers to the research questions</w:t>
      </w:r>
    </w:p>
    <w:p w14:paraId="7D76183A" w14:textId="77777777" w:rsidR="00335172" w:rsidRDefault="00000000">
      <w:r>
        <w:t>For the first research question, the candidate system does not provide sufficient evidence of stable performance above the 50% reference level. Historical balanced-accuracy values remain close to the reference level, their intervals are broad, and all four pre-specified decisions are rejected. For the second question, no Hurst-based arm dominates across horizons, and the audit prevents the 12-trial ablation from supporting a confirmatory claim of incremental value. For the third question, the available evidence is insufficient to support an economic or trading conclusion.</w:t>
      </w:r>
    </w:p>
    <w:p w14:paraId="368C5B1D" w14:textId="77777777" w:rsidR="00335172" w:rsidRDefault="00000000">
      <w:pPr>
        <w:pStyle w:val="Heading2"/>
        <w:spacing w:before="240" w:after="120"/>
      </w:pPr>
      <w:r>
        <w:t>5.2 Why incremental Hurst value may not emerge</w:t>
      </w:r>
    </w:p>
    <w:p w14:paraId="41902CB2" w14:textId="77777777" w:rsidR="00335172" w:rsidRDefault="00000000">
      <w:r>
        <w:t>Several explanations are plausible, but they should be treated as hypotheses rather than findings established by the present experiment. Daily gold direction may have a low signal-to-noise ratio, allowing a regime descriptor to characterize persistence without reliably predicting the sign of the next return. Hurst estimates based on 64 or 128 observations may also become unstable when the local regime changes. In addition, broker-specific candle boundaries and tick volume may make learned relationships sensitive to the selected data feed. Finally, overlapping multi-day targets reduce the effective number of independent observations and increase uncertainty. Each explanation requires a separate pre-specified experiment and should not be interpreted as a causal account of the negative result.</w:t>
      </w:r>
    </w:p>
    <w:p w14:paraId="530F753D" w14:textId="77777777" w:rsidR="00335172" w:rsidRDefault="00000000">
      <w:pPr>
        <w:pStyle w:val="Heading2"/>
        <w:spacing w:before="240" w:after="120"/>
      </w:pPr>
      <w:r>
        <w:t>5.3 Methodological contribution of the negative result</w:t>
      </w:r>
    </w:p>
    <w:p w14:paraId="1311976E" w14:textId="77777777" w:rsidR="00335172" w:rsidRDefault="00000000">
      <w:r>
        <w:t>The principal methodological contribution is the evaluation framework constructed around the feature hypothesis. The study fixes decision timing, separates statistical and executable targets, includes a no-Hurst control arm, applies a common temporal boundary, limits the experimental budget, reports uncertainty, and retains an auditable record of the analysis. Importantly, the framework also prevents a positive interpretation when the available scientific evidence is insufficient, even when the implementation passes its automated software tests. This makes the negative result more informative than reporting only the best isolated accuracy because it identifies which parts of the proposed claim remain unsupported.</w:t>
      </w:r>
    </w:p>
    <w:p w14:paraId="24EB0A83" w14:textId="77777777" w:rsidR="00335172" w:rsidRDefault="00000000">
      <w:pPr>
        <w:pStyle w:val="Heading2"/>
        <w:spacing w:before="240" w:after="120"/>
      </w:pPr>
      <w:r>
        <w:t>5.4 Relation to prior evidence</w:t>
      </w:r>
    </w:p>
    <w:p w14:paraId="67FF1C3A" w14:textId="77777777" w:rsidR="00335172" w:rsidRDefault="00000000">
      <w:r>
        <w:t>The findings are consistent with the caution in the financial-machine-learning literature that small signals can easily be overstated (Bailey et al., 2014; López de Prado, 2018; Peng &amp; de Moraes Souza, 2024). They do not rule out the possibility that Hurst information may be useful for other assets, sampling frequencies, targets, or model architectures. Instead, the conclusion is deliberately narrow: with the present XAUUSD feed, causal price and tick-volume features, candidate model family, forecast horizons, and audit findings, neither stable directional skill nor stable incremental value from Hurst features was demonstrated.</w:t>
      </w:r>
    </w:p>
    <w:p w14:paraId="40EAD8B4" w14:textId="77777777" w:rsidR="00335172" w:rsidRDefault="00000000">
      <w:pPr>
        <w:pStyle w:val="Heading1"/>
        <w:spacing w:before="320" w:after="160"/>
      </w:pPr>
      <w:r>
        <w:lastRenderedPageBreak/>
        <w:t>5.5 Evidence status and interpretation after audit</w:t>
      </w:r>
    </w:p>
    <w:p w14:paraId="0C883FFE" w14:textId="77777777" w:rsidR="00335172" w:rsidRDefault="00000000">
      <w:pPr>
        <w:pStyle w:val="TableCaption"/>
        <w:keepLines/>
        <w:spacing w:before="80" w:after="80" w:line="240" w:lineRule="auto"/>
      </w:pPr>
      <w:r>
        <w:rPr>
          <w:rFonts w:eastAsia="Arial" w:cs="Arial"/>
        </w:rPr>
        <w:t>Table 7. Claim status and permitted interpretation</w:t>
      </w:r>
    </w:p>
    <w:tbl>
      <w:tblPr>
        <w:tblW w:w="9809" w:type="dxa"/>
        <w:jc w:val="center"/>
        <w:tblBorders>
          <w:top w:val="single" w:sz="3" w:space="0" w:color="AAB6C2"/>
          <w:left w:val="single" w:sz="3" w:space="0" w:color="AAB6C2"/>
          <w:bottom w:val="single" w:sz="3" w:space="0" w:color="AAB6C2"/>
          <w:right w:val="single" w:sz="3" w:space="0" w:color="AAB6C2"/>
          <w:insideH w:val="single" w:sz="3" w:space="0" w:color="AAB6C2"/>
          <w:insideV w:val="single" w:sz="3" w:space="0" w:color="AAB6C2"/>
        </w:tblBorders>
        <w:tblLayout w:type="fixed"/>
        <w:tblLook w:val="04A0" w:firstRow="1" w:lastRow="0" w:firstColumn="1" w:lastColumn="0" w:noHBand="0" w:noVBand="1"/>
      </w:tblPr>
      <w:tblGrid>
        <w:gridCol w:w="2159"/>
        <w:gridCol w:w="3138"/>
        <w:gridCol w:w="4512"/>
      </w:tblGrid>
      <w:tr w:rsidR="00335172" w14:paraId="5C8045AA" w14:textId="77777777">
        <w:trPr>
          <w:tblHeader/>
          <w:jc w:val="center"/>
        </w:trPr>
        <w:tc>
          <w:tcPr>
            <w:tcW w:w="2158" w:type="dxa"/>
            <w:shd w:val="clear" w:color="auto" w:fill="EAF0F6"/>
            <w:tcMar>
              <w:top w:w="45" w:type="dxa"/>
              <w:left w:w="55" w:type="dxa"/>
              <w:bottom w:w="45" w:type="dxa"/>
              <w:right w:w="55" w:type="dxa"/>
            </w:tcMar>
            <w:vAlign w:val="center"/>
          </w:tcPr>
          <w:p w14:paraId="620BBB81" w14:textId="77777777" w:rsidR="00335172" w:rsidRDefault="00000000">
            <w:pPr>
              <w:spacing w:after="0" w:line="240" w:lineRule="auto"/>
              <w:jc w:val="left"/>
            </w:pPr>
            <w:r>
              <w:rPr>
                <w:b/>
                <w:color w:val="000000"/>
                <w:sz w:val="16"/>
              </w:rPr>
              <w:t>Claim surface</w:t>
            </w:r>
          </w:p>
        </w:tc>
        <w:tc>
          <w:tcPr>
            <w:tcW w:w="3138" w:type="dxa"/>
            <w:shd w:val="clear" w:color="auto" w:fill="EAF0F6"/>
            <w:tcMar>
              <w:top w:w="45" w:type="dxa"/>
              <w:left w:w="55" w:type="dxa"/>
              <w:bottom w:w="45" w:type="dxa"/>
              <w:right w:w="55" w:type="dxa"/>
            </w:tcMar>
            <w:vAlign w:val="center"/>
          </w:tcPr>
          <w:p w14:paraId="77252198" w14:textId="77777777" w:rsidR="00335172" w:rsidRDefault="00000000">
            <w:pPr>
              <w:spacing w:after="0" w:line="240" w:lineRule="auto"/>
              <w:jc w:val="left"/>
            </w:pPr>
            <w:r>
              <w:rPr>
                <w:b/>
                <w:color w:val="000000"/>
                <w:sz w:val="16"/>
              </w:rPr>
              <w:t>Evidence</w:t>
            </w:r>
          </w:p>
        </w:tc>
        <w:tc>
          <w:tcPr>
            <w:tcW w:w="4512" w:type="dxa"/>
            <w:shd w:val="clear" w:color="auto" w:fill="EAF0F6"/>
            <w:tcMar>
              <w:top w:w="45" w:type="dxa"/>
              <w:left w:w="55" w:type="dxa"/>
              <w:bottom w:w="45" w:type="dxa"/>
              <w:right w:w="55" w:type="dxa"/>
            </w:tcMar>
            <w:vAlign w:val="center"/>
          </w:tcPr>
          <w:p w14:paraId="6686CD56" w14:textId="77777777" w:rsidR="00335172" w:rsidRDefault="00000000">
            <w:pPr>
              <w:spacing w:after="0" w:line="240" w:lineRule="auto"/>
              <w:jc w:val="left"/>
            </w:pPr>
            <w:r>
              <w:rPr>
                <w:b/>
                <w:color w:val="000000"/>
                <w:sz w:val="16"/>
              </w:rPr>
              <w:t>Permitted interpretation</w:t>
            </w:r>
          </w:p>
        </w:tc>
      </w:tr>
      <w:tr w:rsidR="00335172" w14:paraId="6291E597" w14:textId="77777777">
        <w:trPr>
          <w:cantSplit/>
          <w:jc w:val="center"/>
        </w:trPr>
        <w:tc>
          <w:tcPr>
            <w:tcW w:w="2158" w:type="dxa"/>
            <w:tcMar>
              <w:top w:w="45" w:type="dxa"/>
              <w:left w:w="55" w:type="dxa"/>
              <w:bottom w:w="45" w:type="dxa"/>
              <w:right w:w="55" w:type="dxa"/>
            </w:tcMar>
            <w:vAlign w:val="center"/>
          </w:tcPr>
          <w:p w14:paraId="3FFD7A67" w14:textId="77777777" w:rsidR="00335172" w:rsidRDefault="00000000">
            <w:pPr>
              <w:spacing w:after="0" w:line="240" w:lineRule="auto"/>
              <w:jc w:val="left"/>
            </w:pPr>
            <w:r>
              <w:rPr>
                <w:color w:val="000000"/>
                <w:sz w:val="16"/>
              </w:rPr>
              <w:t>Historical performance</w:t>
            </w:r>
          </w:p>
        </w:tc>
        <w:tc>
          <w:tcPr>
            <w:tcW w:w="3138" w:type="dxa"/>
            <w:tcMar>
              <w:top w:w="45" w:type="dxa"/>
              <w:left w:w="55" w:type="dxa"/>
              <w:bottom w:w="45" w:type="dxa"/>
              <w:right w:w="55" w:type="dxa"/>
            </w:tcMar>
            <w:vAlign w:val="center"/>
          </w:tcPr>
          <w:p w14:paraId="7A4D8D9E" w14:textId="77777777" w:rsidR="00335172" w:rsidRDefault="00000000">
            <w:pPr>
              <w:spacing w:after="0" w:line="240" w:lineRule="auto"/>
              <w:jc w:val="left"/>
            </w:pPr>
            <w:r>
              <w:rPr>
                <w:color w:val="000000"/>
                <w:sz w:val="16"/>
              </w:rPr>
              <w:t>Four decisions rejected; period previously observed</w:t>
            </w:r>
          </w:p>
        </w:tc>
        <w:tc>
          <w:tcPr>
            <w:tcW w:w="4512" w:type="dxa"/>
            <w:tcMar>
              <w:top w:w="45" w:type="dxa"/>
              <w:left w:w="55" w:type="dxa"/>
              <w:bottom w:w="45" w:type="dxa"/>
              <w:right w:w="55" w:type="dxa"/>
            </w:tcMar>
            <w:vAlign w:val="center"/>
          </w:tcPr>
          <w:p w14:paraId="0C3EDC30" w14:textId="77777777" w:rsidR="00335172" w:rsidRDefault="00000000">
            <w:pPr>
              <w:spacing w:after="0" w:line="240" w:lineRule="auto"/>
              <w:jc w:val="left"/>
            </w:pPr>
            <w:r>
              <w:rPr>
                <w:sz w:val="16"/>
              </w:rPr>
              <w:t>Historical description only; not prospective confirmation or generalization</w:t>
            </w:r>
          </w:p>
        </w:tc>
      </w:tr>
      <w:tr w:rsidR="00335172" w14:paraId="6C163594" w14:textId="77777777">
        <w:trPr>
          <w:cantSplit/>
          <w:jc w:val="center"/>
        </w:trPr>
        <w:tc>
          <w:tcPr>
            <w:tcW w:w="2158" w:type="dxa"/>
            <w:tcMar>
              <w:top w:w="45" w:type="dxa"/>
              <w:left w:w="55" w:type="dxa"/>
              <w:bottom w:w="45" w:type="dxa"/>
              <w:right w:w="55" w:type="dxa"/>
            </w:tcMar>
            <w:vAlign w:val="center"/>
          </w:tcPr>
          <w:p w14:paraId="1221CEFD" w14:textId="77777777" w:rsidR="00335172" w:rsidRDefault="00000000">
            <w:pPr>
              <w:spacing w:after="0" w:line="240" w:lineRule="auto"/>
              <w:jc w:val="left"/>
            </w:pPr>
            <w:r>
              <w:rPr>
                <w:color w:val="000000"/>
                <w:sz w:val="16"/>
              </w:rPr>
              <w:t>Hurst incremental value</w:t>
            </w:r>
          </w:p>
        </w:tc>
        <w:tc>
          <w:tcPr>
            <w:tcW w:w="3138" w:type="dxa"/>
            <w:tcMar>
              <w:top w:w="45" w:type="dxa"/>
              <w:left w:w="55" w:type="dxa"/>
              <w:bottom w:w="45" w:type="dxa"/>
              <w:right w:w="55" w:type="dxa"/>
            </w:tcMar>
            <w:vAlign w:val="center"/>
          </w:tcPr>
          <w:p w14:paraId="360E806D" w14:textId="77777777" w:rsidR="00335172" w:rsidRDefault="00000000">
            <w:pPr>
              <w:spacing w:after="0" w:line="240" w:lineRule="auto"/>
              <w:jc w:val="left"/>
            </w:pPr>
            <w:r>
              <w:rPr>
                <w:color w:val="000000"/>
                <w:sz w:val="16"/>
              </w:rPr>
              <w:t>Point-estimate winner changes by horizon</w:t>
            </w:r>
          </w:p>
        </w:tc>
        <w:tc>
          <w:tcPr>
            <w:tcW w:w="4512" w:type="dxa"/>
            <w:tcMar>
              <w:top w:w="45" w:type="dxa"/>
              <w:left w:w="55" w:type="dxa"/>
              <w:bottom w:w="45" w:type="dxa"/>
              <w:right w:w="55" w:type="dxa"/>
            </w:tcMar>
            <w:vAlign w:val="center"/>
          </w:tcPr>
          <w:p w14:paraId="65619822" w14:textId="77777777" w:rsidR="00335172" w:rsidRDefault="00000000">
            <w:pPr>
              <w:spacing w:after="0" w:line="240" w:lineRule="auto"/>
              <w:jc w:val="left"/>
            </w:pPr>
            <w:r>
              <w:rPr>
                <w:color w:val="000000"/>
                <w:sz w:val="16"/>
              </w:rPr>
              <w:t>No stable incremental value observed</w:t>
            </w:r>
          </w:p>
        </w:tc>
      </w:tr>
      <w:tr w:rsidR="00335172" w14:paraId="0C132BB9" w14:textId="77777777">
        <w:trPr>
          <w:cantSplit/>
          <w:jc w:val="center"/>
        </w:trPr>
        <w:tc>
          <w:tcPr>
            <w:tcW w:w="2158" w:type="dxa"/>
            <w:tcMar>
              <w:top w:w="45" w:type="dxa"/>
              <w:left w:w="55" w:type="dxa"/>
              <w:bottom w:w="45" w:type="dxa"/>
              <w:right w:w="55" w:type="dxa"/>
            </w:tcMar>
            <w:vAlign w:val="center"/>
          </w:tcPr>
          <w:p w14:paraId="2B1257D1" w14:textId="77777777" w:rsidR="00335172" w:rsidRDefault="00000000">
            <w:pPr>
              <w:spacing w:after="0" w:line="240" w:lineRule="auto"/>
              <w:jc w:val="left"/>
            </w:pPr>
            <w:r>
              <w:rPr>
                <w:color w:val="000000"/>
                <w:sz w:val="16"/>
              </w:rPr>
              <w:t>Calibration boundary</w:t>
            </w:r>
          </w:p>
        </w:tc>
        <w:tc>
          <w:tcPr>
            <w:tcW w:w="3138" w:type="dxa"/>
            <w:tcMar>
              <w:top w:w="45" w:type="dxa"/>
              <w:left w:w="55" w:type="dxa"/>
              <w:bottom w:w="45" w:type="dxa"/>
              <w:right w:w="55" w:type="dxa"/>
            </w:tcMar>
            <w:vAlign w:val="center"/>
          </w:tcPr>
          <w:p w14:paraId="79BFB9E0" w14:textId="77777777" w:rsidR="00335172" w:rsidRDefault="00000000">
            <w:pPr>
              <w:spacing w:after="0" w:line="240" w:lineRule="auto"/>
              <w:jc w:val="left"/>
            </w:pPr>
            <w:r>
              <w:rPr>
                <w:color w:val="000000"/>
                <w:sz w:val="16"/>
              </w:rPr>
              <w:t>Incomplete overlap removal in outer selections</w:t>
            </w:r>
          </w:p>
        </w:tc>
        <w:tc>
          <w:tcPr>
            <w:tcW w:w="4512" w:type="dxa"/>
            <w:tcMar>
              <w:top w:w="45" w:type="dxa"/>
              <w:left w:w="55" w:type="dxa"/>
              <w:bottom w:w="45" w:type="dxa"/>
              <w:right w:w="55" w:type="dxa"/>
            </w:tcMar>
            <w:vAlign w:val="center"/>
          </w:tcPr>
          <w:p w14:paraId="4B4AB51E" w14:textId="77777777" w:rsidR="00335172" w:rsidRDefault="00000000">
            <w:pPr>
              <w:spacing w:after="0" w:line="240" w:lineRule="auto"/>
              <w:jc w:val="left"/>
            </w:pPr>
            <w:r>
              <w:rPr>
                <w:sz w:val="16"/>
              </w:rPr>
              <w:t>Ablation results are descriptive development evidence</w:t>
            </w:r>
          </w:p>
        </w:tc>
      </w:tr>
      <w:tr w:rsidR="00335172" w14:paraId="3031458F" w14:textId="77777777">
        <w:trPr>
          <w:cantSplit/>
          <w:jc w:val="center"/>
        </w:trPr>
        <w:tc>
          <w:tcPr>
            <w:tcW w:w="2158" w:type="dxa"/>
            <w:tcMar>
              <w:top w:w="45" w:type="dxa"/>
              <w:left w:w="55" w:type="dxa"/>
              <w:bottom w:w="45" w:type="dxa"/>
              <w:right w:w="55" w:type="dxa"/>
            </w:tcMar>
            <w:vAlign w:val="center"/>
          </w:tcPr>
          <w:p w14:paraId="56811A4B" w14:textId="77777777" w:rsidR="00335172" w:rsidRDefault="00000000">
            <w:pPr>
              <w:spacing w:after="0" w:line="240" w:lineRule="auto"/>
              <w:jc w:val="left"/>
            </w:pPr>
            <w:r>
              <w:rPr>
                <w:color w:val="000000"/>
                <w:sz w:val="16"/>
              </w:rPr>
              <w:t>Economic claim</w:t>
            </w:r>
          </w:p>
        </w:tc>
        <w:tc>
          <w:tcPr>
            <w:tcW w:w="3138" w:type="dxa"/>
            <w:tcMar>
              <w:top w:w="45" w:type="dxa"/>
              <w:left w:w="55" w:type="dxa"/>
              <w:bottom w:w="45" w:type="dxa"/>
              <w:right w:w="55" w:type="dxa"/>
            </w:tcMar>
            <w:vAlign w:val="center"/>
          </w:tcPr>
          <w:p w14:paraId="31DA9107" w14:textId="77777777" w:rsidR="00335172" w:rsidRDefault="00000000">
            <w:pPr>
              <w:spacing w:after="0" w:line="240" w:lineRule="auto"/>
              <w:jc w:val="left"/>
            </w:pPr>
            <w:r>
              <w:rPr>
                <w:color w:val="000000"/>
                <w:sz w:val="16"/>
              </w:rPr>
              <w:t>Legacy overlap and incomplete inferential controls</w:t>
            </w:r>
          </w:p>
        </w:tc>
        <w:tc>
          <w:tcPr>
            <w:tcW w:w="4512" w:type="dxa"/>
            <w:tcMar>
              <w:top w:w="45" w:type="dxa"/>
              <w:left w:w="55" w:type="dxa"/>
              <w:bottom w:w="45" w:type="dxa"/>
              <w:right w:w="55" w:type="dxa"/>
            </w:tcMar>
            <w:vAlign w:val="center"/>
          </w:tcPr>
          <w:p w14:paraId="28FA94F5" w14:textId="77777777" w:rsidR="00335172" w:rsidRDefault="00000000">
            <w:pPr>
              <w:spacing w:after="0" w:line="240" w:lineRule="auto"/>
              <w:jc w:val="left"/>
            </w:pPr>
            <w:r>
              <w:rPr>
                <w:color w:val="000000"/>
                <w:sz w:val="16"/>
              </w:rPr>
              <w:t>No profitability or economic comparison</w:t>
            </w:r>
          </w:p>
        </w:tc>
      </w:tr>
      <w:tr w:rsidR="00335172" w14:paraId="5094BBA3" w14:textId="77777777">
        <w:trPr>
          <w:cantSplit/>
          <w:jc w:val="center"/>
        </w:trPr>
        <w:tc>
          <w:tcPr>
            <w:tcW w:w="2158" w:type="dxa"/>
            <w:tcMar>
              <w:top w:w="45" w:type="dxa"/>
              <w:left w:w="55" w:type="dxa"/>
              <w:bottom w:w="45" w:type="dxa"/>
              <w:right w:w="55" w:type="dxa"/>
            </w:tcMar>
            <w:vAlign w:val="center"/>
          </w:tcPr>
          <w:p w14:paraId="6D464E85" w14:textId="77777777" w:rsidR="00335172" w:rsidRDefault="00000000">
            <w:pPr>
              <w:spacing w:after="0" w:line="240" w:lineRule="auto"/>
              <w:jc w:val="left"/>
            </w:pPr>
            <w:r>
              <w:rPr>
                <w:color w:val="000000"/>
                <w:sz w:val="16"/>
              </w:rPr>
              <w:t>Data provenance</w:t>
            </w:r>
          </w:p>
        </w:tc>
        <w:tc>
          <w:tcPr>
            <w:tcW w:w="3138" w:type="dxa"/>
            <w:tcMar>
              <w:top w:w="45" w:type="dxa"/>
              <w:left w:w="55" w:type="dxa"/>
              <w:bottom w:w="45" w:type="dxa"/>
              <w:right w:w="55" w:type="dxa"/>
            </w:tcMar>
            <w:vAlign w:val="center"/>
          </w:tcPr>
          <w:p w14:paraId="3D3F40C6" w14:textId="77777777" w:rsidR="00335172" w:rsidRDefault="00000000">
            <w:pPr>
              <w:spacing w:after="0" w:line="240" w:lineRule="auto"/>
              <w:jc w:val="left"/>
            </w:pPr>
            <w:r>
              <w:rPr>
                <w:color w:val="000000"/>
                <w:sz w:val="16"/>
              </w:rPr>
              <w:t>Partly reconstructed broker metadata</w:t>
            </w:r>
          </w:p>
        </w:tc>
        <w:tc>
          <w:tcPr>
            <w:tcW w:w="4512" w:type="dxa"/>
            <w:tcMar>
              <w:top w:w="45" w:type="dxa"/>
              <w:left w:w="55" w:type="dxa"/>
              <w:bottom w:w="45" w:type="dxa"/>
              <w:right w:w="55" w:type="dxa"/>
            </w:tcMar>
            <w:vAlign w:val="center"/>
          </w:tcPr>
          <w:p w14:paraId="3EA4BA88" w14:textId="77777777" w:rsidR="00335172" w:rsidRDefault="00000000">
            <w:pPr>
              <w:spacing w:after="0" w:line="240" w:lineRule="auto"/>
              <w:jc w:val="left"/>
            </w:pPr>
            <w:r>
              <w:rPr>
                <w:sz w:val="16"/>
              </w:rPr>
              <w:t>Partial reproducibility and limited external validity</w:t>
            </w:r>
          </w:p>
        </w:tc>
      </w:tr>
    </w:tbl>
    <w:p w14:paraId="74EF39F2" w14:textId="77777777" w:rsidR="00335172" w:rsidRDefault="00000000">
      <w:pPr>
        <w:pStyle w:val="SourceNote"/>
        <w:spacing w:before="80" w:after="120" w:line="240" w:lineRule="auto"/>
      </w:pPr>
      <w:r>
        <w:t>Source: Scientific audit and project-evaluation records.</w:t>
      </w:r>
    </w:p>
    <w:p w14:paraId="188F0209" w14:textId="77777777" w:rsidR="00335172" w:rsidRDefault="00000000">
      <w:pPr>
        <w:pStyle w:val="Heading1"/>
        <w:spacing w:before="320" w:after="160"/>
      </w:pPr>
      <w:r>
        <w:rPr>
          <w:rFonts w:ascii="Arial" w:eastAsia="Arial" w:hAnsi="Arial" w:cs="Arial"/>
          <w:sz w:val="24"/>
        </w:rPr>
        <w:t>6. Limitations</w:t>
      </w:r>
    </w:p>
    <w:p w14:paraId="414DD655" w14:textId="77777777" w:rsidR="00335172" w:rsidRDefault="00000000">
      <w:r>
        <w:t>First, the experiment uses a single broker feed, daily candles, and broker tick volume. The findings therefore cannot be generalized automatically to consolidated gold-market volume, another broker, a different session convention, or another market.</w:t>
      </w:r>
    </w:p>
    <w:p w14:paraId="62244428" w14:textId="77777777" w:rsidR="00335172" w:rsidRDefault="00000000">
      <w:r>
        <w:t>Second, the historical evaluation period was observed previously during the project lifecycle and therefore does not constitute a pristine prospective confirmation set.</w:t>
      </w:r>
    </w:p>
    <w:p w14:paraId="2457A519" w14:textId="77777777" w:rsidR="00335172" w:rsidRDefault="00000000">
      <w:r>
        <w:t>Third, the 12-trial ablation contains a documented defect at the secondary calibration-to-evaluation boundary. The results are retained for transparency but are not interpreted as clean confirmatory evidence.</w:t>
      </w:r>
    </w:p>
    <w:p w14:paraId="51657F81" w14:textId="77777777" w:rsidR="00335172" w:rsidRDefault="00000000">
      <w:r>
        <w:t>Fourth, the block-bootstrap procedure and family-level inference are limited. The reported intervals communicate uncertainty, but they do not substitute for a stronger paired and horizon-aware inferential design.</w:t>
      </w:r>
    </w:p>
    <w:p w14:paraId="3DD96662" w14:textId="77777777" w:rsidR="00335172" w:rsidRDefault="00000000">
      <w:r>
        <w:t>Fifth, no valid conclusions can be drawn from the current record regarding profitability, the probability of backtest overfitting, the Deflated Sharpe Ratio, live MT5 performance, or order execution. Although the executable timing convention is documented, no economic evaluation is presented.</w:t>
      </w:r>
    </w:p>
    <w:p w14:paraId="5839945E" w14:textId="77777777" w:rsidR="00335172" w:rsidRDefault="00000000">
      <w:pPr>
        <w:pStyle w:val="Heading1"/>
        <w:spacing w:before="320" w:after="160"/>
      </w:pPr>
      <w:r>
        <w:rPr>
          <w:rFonts w:ascii="Arial" w:eastAsia="Arial" w:hAnsi="Arial" w:cs="Arial"/>
          <w:sz w:val="24"/>
        </w:rPr>
        <w:t>7. Conclusion</w:t>
      </w:r>
    </w:p>
    <w:p w14:paraId="33FDC107" w14:textId="77777777" w:rsidR="00335172" w:rsidRDefault="00000000">
      <w:r>
        <w:t>This study evaluated whether Hurst-based regime features provide stable incremental value for multi-horizon daily XAUUSD direction forecasting. Across the 1-, 5-, 10-, and 20-day horizons, the previously observed historical evaluation produced balanced accuracy values between 50.38% and 52.19%, and all four pre-specified decisions were rejected. The 12-trial ablation likewise failed to show a stable Hurst advantage, while the documented calibration-boundary defect limits the evidentiary status of those ablation results.</w:t>
      </w:r>
    </w:p>
    <w:p w14:paraId="28E2EC15" w14:textId="77777777" w:rsidR="00335172" w:rsidRDefault="00000000">
      <w:r>
        <w:t>The defensible conclusion is therefore narrow: given the documented data source and evaluation protocol, the evidence does not demonstrate stable directional skill, stable incremental predictive value from Hurst features, or reliable trading profitability. The study's principal value lies in its auditable negative finding, its explicit separation of statistical and executable targets, and its source-to-idea and data-provenance records, which make the limits of the claim transparent and inspectable.</w:t>
      </w:r>
    </w:p>
    <w:p w14:paraId="2487A07F" w14:textId="77777777" w:rsidR="00335172" w:rsidRDefault="00000000">
      <w:r>
        <w:t>Future work should first repair the calibration purge and rerun the complete development process. The resulting locked design should then be evaluated on strictly prospective data that have not previously been observed or used during model development. Future studies should preserve the common-calendar comparison, maintain point-in-time provenance for broker session conventions, strengthen paired and horizon-aware inference, and introduce external macroeconomic variables only within a new pre-registered design. Until these steps are completed, the current results should not be presented as evidence of a deployable trading system or as an investment recommendation.</w:t>
      </w:r>
    </w:p>
    <w:p w14:paraId="0224EAD4" w14:textId="77777777" w:rsidR="00335172" w:rsidRDefault="00000000">
      <w:pPr>
        <w:pStyle w:val="Heading1"/>
        <w:spacing w:before="320" w:after="160"/>
      </w:pPr>
      <w:r>
        <w:rPr>
          <w:rFonts w:ascii="Arial" w:eastAsia="Arial" w:hAnsi="Arial" w:cs="Arial"/>
          <w:sz w:val="24"/>
        </w:rPr>
        <w:t>Declarations</w:t>
      </w:r>
    </w:p>
    <w:p w14:paraId="5D516D74" w14:textId="77777777" w:rsidR="00335172" w:rsidRDefault="00000000">
      <w:r>
        <w:t>Data Availability Statement: The code, configurations, manifests, and evidence files are available in the public repository on the thesis-v2-rebuild branch at commit 86404f3c10450cccac46deb962c1002290d82d8a. The raw broker-provided series depend on the MetaQuotes-Demo contract and data version; therefore, the study reports recorded hashes and reconstruction rules without claiming equivalence to another broker feed.</w:t>
      </w:r>
    </w:p>
    <w:p w14:paraId="17E0DBF4" w14:textId="77777777" w:rsidR="00335172" w:rsidRDefault="00000000">
      <w:r>
        <w:t>Ethics Declaration: This study involved no human participants, personal data, animal subjects, or clinical interventions.</w:t>
      </w:r>
    </w:p>
    <w:p w14:paraId="2862DDD5" w14:textId="77777777" w:rsidR="00335172" w:rsidRDefault="00000000">
      <w:r>
        <w:t>Conflict of Interest: The authors declare no conflicts of interest related to this study.</w:t>
      </w:r>
    </w:p>
    <w:p w14:paraId="73E50513" w14:textId="77777777" w:rsidR="00335172" w:rsidRDefault="00000000">
      <w:r>
        <w:t>Funding: This research received no external funding.</w:t>
      </w:r>
    </w:p>
    <w:p w14:paraId="34009BCB" w14:textId="77777777" w:rsidR="00335172" w:rsidRDefault="00000000">
      <w:r>
        <w:lastRenderedPageBreak/>
        <w:t>Author Contributions: Jalil Ahmad Afshar and Ehsan Aryanfar jointly designed the study, implemented the software, analyzed the results, and prepared the manuscript. Academic supervision was provided by Mahboubeh Fattahi.</w:t>
      </w:r>
    </w:p>
    <w:p w14:paraId="1665982F" w14:textId="77777777" w:rsidR="00335172" w:rsidRDefault="00000000">
      <w:pPr>
        <w:pStyle w:val="Heading1"/>
        <w:spacing w:before="320" w:after="160"/>
      </w:pPr>
      <w:r>
        <w:t>Reproducibility Note</w:t>
      </w:r>
    </w:p>
    <w:p w14:paraId="528C09F5" w14:textId="77777777" w:rsidR="00335172" w:rsidRDefault="00000000">
      <w:r>
        <w:t>The reported results are based on the audited thesis artifacts and the frozen repository record; no new experimental run was conducted to generate the values presented in this article. A software rerun should use the thesis configuration and recorded quality checks while recognizing the limitations associated with the broker contract and data provenance.</w:t>
      </w:r>
    </w:p>
    <w:p w14:paraId="6166CF66" w14:textId="77777777" w:rsidR="00335172" w:rsidRDefault="00000000">
      <w:pPr>
        <w:pStyle w:val="Heading1"/>
        <w:spacing w:before="320" w:after="160"/>
      </w:pPr>
      <w:r>
        <w:rPr>
          <w:rFonts w:ascii="Arial" w:eastAsia="Arial" w:hAnsi="Arial" w:cs="Arial"/>
          <w:sz w:val="24"/>
        </w:rPr>
        <w:t>References</w:t>
      </w:r>
    </w:p>
    <w:p w14:paraId="402F5C43" w14:textId="77777777" w:rsidR="00335172" w:rsidRDefault="00000000">
      <w:pPr>
        <w:pStyle w:val="References"/>
      </w:pPr>
      <w:r>
        <w:rPr>
          <w:color w:val="000000"/>
        </w:rPr>
        <w:t>Bailey, D. H., Borwein, J. M., López de Prado, M., &amp; Zhu, Q. J. (2014). Pseudo-mathematics and financial charlatanism: The effects of backtest overfitting on out-of-sample performance. Notices of the AMS, 61(5), 458–471.</w:t>
      </w:r>
    </w:p>
    <w:p w14:paraId="73F358DE" w14:textId="77777777" w:rsidR="00335172" w:rsidRDefault="00000000">
      <w:pPr>
        <w:pStyle w:val="References"/>
      </w:pPr>
      <w:r>
        <w:rPr>
          <w:color w:val="000000"/>
        </w:rPr>
        <w:t>Baur, D. G., &amp; Lucey, B. M. (2010). Is gold a hedge or a safe haven? An analysis of stocks, bonds and gold. The Financial Review, 45, 217–229. https://doi.org/10.1111/j.1540-6288.2010.00244.x</w:t>
      </w:r>
    </w:p>
    <w:p w14:paraId="59A53761" w14:textId="77777777" w:rsidR="00335172" w:rsidRDefault="00000000">
      <w:pPr>
        <w:pStyle w:val="References"/>
      </w:pPr>
      <w:r>
        <w:rPr>
          <w:color w:val="000000"/>
        </w:rPr>
        <w:t>Baur, D. G., &amp; McDermott, T. K. (2010). Is gold a safe haven? International evidence. Journal of Banking &amp; Finance, 34(8), 1886–1898. https://doi.org/10.1016/j.jbankfin.2009.12.008</w:t>
      </w:r>
    </w:p>
    <w:p w14:paraId="324A7275" w14:textId="77777777" w:rsidR="00335172" w:rsidRDefault="00000000">
      <w:pPr>
        <w:pStyle w:val="References"/>
      </w:pPr>
      <w:r>
        <w:rPr>
          <w:color w:val="000000"/>
        </w:rPr>
        <w:t>Bergmeir, C., &amp; Benítez, J. M. (2012). On the use of cross-validation for time series predictor evaluation. Information Sciences, 191, 192–213. https://doi.org/10.1016/j.ins.2011.12.028</w:t>
      </w:r>
    </w:p>
    <w:p w14:paraId="6D15D3C2" w14:textId="77777777" w:rsidR="00335172" w:rsidRDefault="00000000">
      <w:pPr>
        <w:pStyle w:val="References"/>
      </w:pPr>
      <w:r>
        <w:rPr>
          <w:color w:val="000000"/>
        </w:rPr>
        <w:t>Bergmeir, C., Hyndman, R. J., &amp; Koo, B. (2018). A note on the validity of cross-validation for evaluating autoregressive time series prediction. Computational Statistics &amp; Data Analysis, 120, 70–83. https://doi.org/10.1016/j.csda.2017.11.003</w:t>
      </w:r>
    </w:p>
    <w:p w14:paraId="7969B0D6" w14:textId="77777777" w:rsidR="00335172" w:rsidRDefault="00000000">
      <w:pPr>
        <w:pStyle w:val="References"/>
      </w:pPr>
      <w:r>
        <w:rPr>
          <w:color w:val="000000"/>
        </w:rPr>
        <w:t>Breiman, L. (2001). Random forests. Machine Learning, 45, 5–32. https://doi.org/10.1023/A:1010933404324</w:t>
      </w:r>
    </w:p>
    <w:p w14:paraId="66B1E937" w14:textId="77777777" w:rsidR="00335172" w:rsidRDefault="00000000">
      <w:pPr>
        <w:pStyle w:val="References"/>
      </w:pPr>
      <w:r>
        <w:rPr>
          <w:color w:val="000000"/>
        </w:rPr>
        <w:t>Brodersen, K. H., Ong, C. S., Stephan, K. E., &amp; Buhmann, J. M. (2010). The balanced accuracy and its posterior distribution. In Proceedings of the 20th International Conference on Pattern Recognition (ICPR), 3121–3124. https://doi.org/10.1109/ICPR.2010.764</w:t>
      </w:r>
    </w:p>
    <w:p w14:paraId="524CDD56" w14:textId="77777777" w:rsidR="00335172" w:rsidRDefault="00000000">
      <w:pPr>
        <w:pStyle w:val="References"/>
      </w:pPr>
      <w:r>
        <w:rPr>
          <w:color w:val="000000"/>
        </w:rPr>
        <w:t>Cohen, G., &amp; Aiche, A. (2023). Forecasting gold price using machine learning methodologies. Chaos, Solitons &amp; Fractals, 175, 114079. https://doi.org/10.1016/j.chaos.2023.114079</w:t>
      </w:r>
    </w:p>
    <w:p w14:paraId="69D41DD5" w14:textId="77777777" w:rsidR="00335172" w:rsidRDefault="00000000">
      <w:pPr>
        <w:pStyle w:val="References"/>
      </w:pPr>
      <w:r>
        <w:t>Das, S., Nayak, J., Rao, B. K., Vakula, K., &amp; Routray, A. R. (2022). Gold price forecasting using machine learning techniques: Review of a decade. In Computational Intelligence in Pattern Recognition (pp. 679–695). Springer. https://doi.org/10.1007/978-981-16-2543-5_58</w:t>
      </w:r>
    </w:p>
    <w:p w14:paraId="09895C4F" w14:textId="77777777" w:rsidR="00335172" w:rsidRDefault="00000000">
      <w:pPr>
        <w:pStyle w:val="References"/>
      </w:pPr>
      <w:r>
        <w:rPr>
          <w:color w:val="000000"/>
        </w:rPr>
        <w:t>Fischer, T., &amp; Krauss, C. (2018). Deep learning with long short-term memory networks for financial market predictions. European Journal of Operational Research, 270(2), 654–669. https://doi.org/10.1016/j.ejor.2017.11.054</w:t>
      </w:r>
    </w:p>
    <w:p w14:paraId="75A6F3B3" w14:textId="77777777" w:rsidR="00335172" w:rsidRDefault="00000000">
      <w:pPr>
        <w:pStyle w:val="References"/>
      </w:pPr>
      <w:r>
        <w:rPr>
          <w:color w:val="000000"/>
        </w:rPr>
        <w:t>Friedman, J. H. (2001). Greedy function approximation: A gradient boosting machine. The Annals of Statistics, 29(5), 1189–1232. https://doi.org/10.1214/aos/1013203451</w:t>
      </w:r>
    </w:p>
    <w:p w14:paraId="20E0124A" w14:textId="77777777" w:rsidR="00335172" w:rsidRDefault="00000000">
      <w:pPr>
        <w:pStyle w:val="References"/>
      </w:pPr>
      <w:r>
        <w:rPr>
          <w:color w:val="000000"/>
        </w:rPr>
        <w:t>Geurts, P., Ernst, D., &amp; Wehenkel, L. (2006). Extremely randomized trees. Machine Learning, 63, 3–42. https://doi.org/10.1007/s10994-006-6226-1</w:t>
      </w:r>
    </w:p>
    <w:p w14:paraId="4F2A68E3" w14:textId="77777777" w:rsidR="00335172" w:rsidRDefault="00000000">
      <w:pPr>
        <w:pStyle w:val="References"/>
      </w:pPr>
      <w:r>
        <w:rPr>
          <w:color w:val="000000"/>
        </w:rPr>
        <w:t>Gu, S., Kelly, B., &amp; Xiu, D. (2020). Empirical asset pricing via machine learning. The Review of Financial Studies, 33(5), 2223–2273. https://doi.org/10.1093/rfs/hhaa009</w:t>
      </w:r>
    </w:p>
    <w:p w14:paraId="2906BBA9" w14:textId="77777777" w:rsidR="00335172" w:rsidRDefault="00000000">
      <w:pPr>
        <w:pStyle w:val="References"/>
      </w:pPr>
      <w:r>
        <w:rPr>
          <w:color w:val="000000"/>
        </w:rPr>
        <w:t>HGE Gold Forecasting Repository. (2026). Stable thesis source snapshot, branch thesis-v2-rebuild, commit 86404f3c10450cccac46deb962c1002290d82d8a. GitHub. https://github.com/leonardo0231/hurst-gated-gold-forecasting/commit/86404f3c10450cccac46deb962c1002290d82d8a</w:t>
      </w:r>
    </w:p>
    <w:p w14:paraId="025A0B27" w14:textId="77777777" w:rsidR="00335172" w:rsidRDefault="00000000">
      <w:pPr>
        <w:pStyle w:val="References"/>
      </w:pPr>
      <w:r>
        <w:rPr>
          <w:color w:val="000000"/>
        </w:rPr>
        <w:t>Hurst, H. E. (1951). Long-term storage capacity of reservoirs. Transactions of the American Society of Civil Engineers, 116, 770–799. https://doi.org/10.1061/TACEAT.0006518</w:t>
      </w:r>
    </w:p>
    <w:p w14:paraId="536A98F4" w14:textId="77777777" w:rsidR="00335172" w:rsidRDefault="00000000">
      <w:pPr>
        <w:pStyle w:val="References"/>
      </w:pPr>
      <w:r>
        <w:rPr>
          <w:color w:val="000000"/>
        </w:rPr>
        <w:t>Kantelhardt, J. W., Zschiegner, S. A., Koscielny-Bunde, E., Havlin, S., Bunde, A., &amp; Stanley, H. E. (2001). Detecting long-range correlations with detrended fluctuation analysis. Physica A, 295, 441–454. https://doi.org/10.1016/S0378-4371(01)00144-3</w:t>
      </w:r>
    </w:p>
    <w:p w14:paraId="3B7AB4EA" w14:textId="77777777" w:rsidR="00335172" w:rsidRDefault="00000000">
      <w:pPr>
        <w:pStyle w:val="References"/>
      </w:pPr>
      <w:r>
        <w:rPr>
          <w:color w:val="000000"/>
        </w:rPr>
        <w:t>Künsch, H. R. (1989). The jackknife and the bootstrap for general stationary observations. The Annals of Statistics, 17(3), 1217–1241. https://doi.org/10.1214/aos/1176347265</w:t>
      </w:r>
    </w:p>
    <w:p w14:paraId="6D7B518B" w14:textId="77777777" w:rsidR="00335172" w:rsidRDefault="00000000">
      <w:pPr>
        <w:pStyle w:val="References"/>
      </w:pPr>
      <w:r>
        <w:rPr>
          <w:color w:val="000000"/>
        </w:rPr>
        <w:t>López de Prado, M. (2018). Advances in financial machine learning. Wiley.</w:t>
      </w:r>
    </w:p>
    <w:p w14:paraId="2EF427D9" w14:textId="77777777" w:rsidR="00335172" w:rsidRDefault="00000000">
      <w:pPr>
        <w:pStyle w:val="References"/>
      </w:pPr>
      <w:r>
        <w:rPr>
          <w:color w:val="000000"/>
        </w:rPr>
        <w:t>Mandelbrot, B. B., &amp; Wallis, J. R. (1969). Robustness of the rescaled range R/S in the measurement of noncyclic long-run statistical dependence. Water Resources Research, 5(5), 967–988. https://doi.org/10.1029/WR005i005p00967</w:t>
      </w:r>
    </w:p>
    <w:p w14:paraId="67A98E77" w14:textId="77777777" w:rsidR="00335172" w:rsidRDefault="00000000">
      <w:pPr>
        <w:pStyle w:val="References"/>
      </w:pPr>
      <w:r>
        <w:rPr>
          <w:color w:val="000000"/>
        </w:rPr>
        <w:t>Peng, M., &amp; de Moraes Souza, M. J. P. (2024). Chaos, overfitting and equilibrium: To what extent can machine learning beat the financial market? International Review of Financial Analysis, 95(B), 103474. https://doi.org/10.1016/j.irfa.2024.103474</w:t>
      </w:r>
    </w:p>
    <w:p w14:paraId="6ECB54E0" w14:textId="77777777" w:rsidR="00335172" w:rsidRDefault="00000000">
      <w:pPr>
        <w:pStyle w:val="References"/>
      </w:pPr>
      <w:r>
        <w:rPr>
          <w:color w:val="000000"/>
        </w:rPr>
        <w:t>Qian, H., &amp; Rasheed, K. (2004). Hurst exponent and financial market predictability. Proceedings of the IASTED Conference on Financial Engineering and Applications. https://m.actapress.com/Abstract.aspx?paperId=17650</w:t>
      </w:r>
    </w:p>
    <w:p w14:paraId="098419ED" w14:textId="77777777" w:rsidR="00335172" w:rsidRDefault="00000000">
      <w:pPr>
        <w:pStyle w:val="References"/>
      </w:pPr>
      <w:r>
        <w:rPr>
          <w:color w:val="000000"/>
        </w:rPr>
        <w:t>Sokolova, M., &amp; Lapalme, G. (2009). A systematic analysis of performance measures for classification tasks. Information Processing &amp; Management, 45(4), 427–437. https://doi.org/10.1016/j.ipm.2009.03.002</w:t>
      </w:r>
    </w:p>
    <w:p w14:paraId="2BE35903" w14:textId="77777777" w:rsidR="00335172" w:rsidRDefault="00000000">
      <w:pPr>
        <w:pStyle w:val="References"/>
      </w:pPr>
      <w:r>
        <w:rPr>
          <w:color w:val="000000"/>
        </w:rPr>
        <w:t>Yang, M., Wang, R., Zeng, Z., &amp; Li, P. (2024). Improved prediction of global gold prices: An innovative Hurst-reconfiguration-based machine learning approach. Resources Policy, 88, 104430. https://doi.org/10.1016/j.resourpol.2023.104430</w:t>
      </w:r>
    </w:p>
    <w:sectPr w:rsidR="00335172" w:rsidSect="00034616">
      <w:headerReference w:type="even" r:id="rId10"/>
      <w:headerReference w:type="default" r:id="rId11"/>
      <w:footerReference w:type="default" r:id="rId12"/>
      <w:headerReference w:type="first" r:id="rId13"/>
      <w:footerReference w:type="first" r:id="rId14"/>
      <w:pgSz w:w="11906" w:h="16838"/>
      <w:pgMar w:top="879" w:right="1049" w:bottom="879" w:left="1049" w:header="369" w:footer="40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9A4D16" w14:textId="77777777" w:rsidR="00FB7C81" w:rsidRDefault="00FB7C81">
      <w:pPr>
        <w:spacing w:after="0" w:line="240" w:lineRule="auto"/>
      </w:pPr>
      <w:r>
        <w:separator/>
      </w:r>
    </w:p>
  </w:endnote>
  <w:endnote w:type="continuationSeparator" w:id="0">
    <w:p w14:paraId="69962DE9" w14:textId="77777777" w:rsidR="00FB7C81" w:rsidRDefault="00FB7C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551CE" w14:textId="77777777" w:rsidR="00335172" w:rsidRDefault="00000000">
    <w:pPr>
      <w:pStyle w:val="Footer"/>
      <w:jc w:val="right"/>
    </w:pPr>
    <w:r>
      <w:rPr>
        <w:rFonts w:ascii="Arial" w:eastAsia="Arial" w:hAnsi="Arial" w:cs="Arial"/>
        <w:color w:val="5C6269"/>
        <w:sz w:val="15"/>
      </w:rPr>
      <w:t xml:space="preserve">Page </w:t>
    </w:r>
    <w:r>
      <w:rPr>
        <w:rFonts w:ascii="Arial" w:eastAsia="Arial" w:hAnsi="Arial" w:cs="Arial"/>
        <w:color w:val="5C6269"/>
        <w:sz w:val="15"/>
      </w:rPr>
      <w:fldChar w:fldCharType="begin"/>
    </w:r>
    <w:r>
      <w:rPr>
        <w:rFonts w:ascii="Arial" w:eastAsia="Arial" w:hAnsi="Arial" w:cs="Arial"/>
        <w:color w:val="5C6269"/>
        <w:sz w:val="15"/>
      </w:rPr>
      <w:instrText>PAGE</w:instrText>
    </w:r>
    <w:r>
      <w:rPr>
        <w:rFonts w:ascii="Arial" w:eastAsia="Arial" w:hAnsi="Arial" w:cs="Arial"/>
        <w:color w:val="5C6269"/>
        <w:sz w:val="15"/>
      </w:rPr>
      <w:fldChar w:fldCharType="separate"/>
    </w:r>
    <w:r>
      <w:rPr>
        <w:rFonts w:ascii="Arial" w:eastAsia="Arial" w:hAnsi="Arial" w:cs="Arial"/>
        <w:color w:val="5C6269"/>
        <w:sz w:val="15"/>
      </w:rPr>
      <w:t>1</w:t>
    </w:r>
    <w:r>
      <w:rPr>
        <w:rFonts w:ascii="Arial" w:eastAsia="Arial" w:hAnsi="Arial" w:cs="Arial"/>
        <w:color w:val="5C6269"/>
        <w:sz w:val="15"/>
      </w:rPr>
      <w:fldChar w:fldCharType="end"/>
    </w:r>
    <w:r>
      <w:rPr>
        <w:rFonts w:ascii="Arial" w:eastAsia="Arial" w:hAnsi="Arial" w:cs="Arial"/>
        <w:color w:val="5C6269"/>
        <w:sz w:val="15"/>
      </w:rPr>
      <w:t xml:space="preserve"> of </w:t>
    </w:r>
    <w:r>
      <w:rPr>
        <w:rFonts w:ascii="Arial" w:eastAsia="Arial" w:hAnsi="Arial" w:cs="Arial"/>
        <w:color w:val="5C6269"/>
        <w:sz w:val="15"/>
      </w:rPr>
      <w:fldChar w:fldCharType="begin"/>
    </w:r>
    <w:r>
      <w:rPr>
        <w:rFonts w:ascii="Arial" w:eastAsia="Arial" w:hAnsi="Arial" w:cs="Arial"/>
        <w:color w:val="5C6269"/>
        <w:sz w:val="15"/>
      </w:rPr>
      <w:instrText>NUMPAGES</w:instrText>
    </w:r>
    <w:r>
      <w:rPr>
        <w:rFonts w:ascii="Arial" w:eastAsia="Arial" w:hAnsi="Arial" w:cs="Arial"/>
        <w:color w:val="5C6269"/>
        <w:sz w:val="15"/>
      </w:rPr>
      <w:fldChar w:fldCharType="separate"/>
    </w:r>
    <w:r>
      <w:rPr>
        <w:rFonts w:ascii="Arial" w:eastAsia="Arial" w:hAnsi="Arial" w:cs="Arial"/>
        <w:color w:val="5C6269"/>
        <w:sz w:val="15"/>
      </w:rPr>
      <w:t>1</w:t>
    </w:r>
    <w:r>
      <w:rPr>
        <w:rFonts w:ascii="Arial" w:eastAsia="Arial" w:hAnsi="Arial" w:cs="Arial"/>
        <w:color w:val="5C6269"/>
        <w:sz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17915" w14:textId="7F145633" w:rsidR="00335172" w:rsidRDefault="00000000">
    <w:pPr>
      <w:pStyle w:val="Footer"/>
      <w:jc w:val="left"/>
    </w:pPr>
    <w:r>
      <w:rPr>
        <w:i/>
        <w:sz w:val="17"/>
      </w:rPr>
      <w:t xml:space="preserve">E-mail addresses: </w:t>
    </w:r>
    <w:hyperlink r:id="rId1">
      <w:r>
        <w:rPr>
          <w:color w:val="0563C1"/>
          <w:sz w:val="17"/>
          <w:szCs w:val="17"/>
          <w:u w:val="single"/>
        </w:rPr>
        <w:t>jalilahmad1309@gmail.com</w:t>
      </w:r>
    </w:hyperlink>
    <w:r>
      <w:rPr>
        <w:sz w:val="17"/>
      </w:rPr>
      <w:t xml:space="preserve"> (J. A. Afshar), </w:t>
    </w:r>
    <w:hyperlink r:id="rId2">
      <w:r>
        <w:rPr>
          <w:color w:val="0563C1"/>
          <w:sz w:val="17"/>
          <w:szCs w:val="17"/>
          <w:u w:val="single"/>
        </w:rPr>
        <w:t>ehsan20320@gmail.com</w:t>
      </w:r>
    </w:hyperlink>
    <w:r>
      <w:rPr>
        <w:sz w:val="17"/>
      </w:rPr>
      <w:t xml:space="preserve"> (E. </w:t>
    </w:r>
    <w:proofErr w:type="spellStart"/>
    <w:r>
      <w:rPr>
        <w:sz w:val="17"/>
      </w:rPr>
      <w:t>Aryanfar</w:t>
    </w:r>
    <w:proofErr w:type="spellEnd"/>
    <w:r>
      <w:rPr>
        <w:sz w:val="17"/>
      </w:rPr>
      <w:t xml:space="preserve">), </w:t>
    </w:r>
    <w:hyperlink r:id="rId3">
      <w:r>
        <w:rPr>
          <w:color w:val="0563C1"/>
          <w:sz w:val="17"/>
          <w:szCs w:val="17"/>
          <w:u w:val="single"/>
        </w:rPr>
        <w:t>m.fatahi@khorasan.ac.ir</w:t>
      </w:r>
    </w:hyperlink>
    <w:r>
      <w:rPr>
        <w:sz w:val="17"/>
      </w:rPr>
      <w:t xml:space="preserve"> (M. Fattahi)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BF2B77" w14:textId="77777777" w:rsidR="00FB7C81" w:rsidRDefault="00FB7C81">
      <w:pPr>
        <w:spacing w:after="0" w:line="240" w:lineRule="auto"/>
      </w:pPr>
      <w:r>
        <w:separator/>
      </w:r>
    </w:p>
  </w:footnote>
  <w:footnote w:type="continuationSeparator" w:id="0">
    <w:p w14:paraId="25C1DD51" w14:textId="77777777" w:rsidR="00FB7C81" w:rsidRDefault="00FB7C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B5C739" w14:textId="77777777" w:rsidR="00335172" w:rsidRDefault="003351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BC328" w14:textId="77777777" w:rsidR="00335172" w:rsidRDefault="00335172">
    <w:pPr>
      <w:pStyle w:val="Header"/>
      <w:jc w:val="left"/>
    </w:pPr>
  </w:p>
  <w:tbl>
    <w:tblPr>
      <w:tblW w:w="0" w:type="auto"/>
      <w:jc w:val="center"/>
      <w:tblBorders>
        <w:top w:val="nil"/>
        <w:left w:val="nil"/>
        <w:bottom w:val="single" w:sz="3" w:space="0" w:color="C7CDD4"/>
        <w:right w:val="nil"/>
        <w:insideH w:val="nil"/>
        <w:insideV w:val="nil"/>
      </w:tblBorders>
      <w:tblLayout w:type="fixed"/>
      <w:tblLook w:val="04A0" w:firstRow="1" w:lastRow="0" w:firstColumn="1" w:lastColumn="0" w:noHBand="0" w:noVBand="1"/>
    </w:tblPr>
    <w:tblGrid>
      <w:gridCol w:w="6804"/>
      <w:gridCol w:w="3005"/>
    </w:tblGrid>
    <w:tr w:rsidR="00335172" w14:paraId="3EB25960" w14:textId="77777777">
      <w:trPr>
        <w:jc w:val="center"/>
      </w:trPr>
      <w:tc>
        <w:tcPr>
          <w:tcW w:w="6804" w:type="dxa"/>
          <w:tcMar>
            <w:top w:w="0" w:type="dxa"/>
            <w:left w:w="0" w:type="dxa"/>
            <w:bottom w:w="0" w:type="dxa"/>
            <w:right w:w="0" w:type="dxa"/>
          </w:tcMar>
        </w:tcPr>
        <w:p w14:paraId="3EDA9D9D" w14:textId="77777777" w:rsidR="00335172" w:rsidRDefault="00000000">
          <w:pPr>
            <w:spacing w:after="0"/>
            <w:jc w:val="left"/>
          </w:pPr>
          <w:r>
            <w:rPr>
              <w:rFonts w:ascii="Arial" w:eastAsia="Arial" w:hAnsi="Arial" w:cs="Arial"/>
              <w:color w:val="5C6269"/>
              <w:sz w:val="15"/>
            </w:rPr>
            <w:t>Afshar &amp; Aryanfar | XAUUSD Hurst Forecasting</w:t>
          </w:r>
        </w:p>
      </w:tc>
      <w:tc>
        <w:tcPr>
          <w:tcW w:w="3005" w:type="dxa"/>
          <w:tcMar>
            <w:top w:w="0" w:type="dxa"/>
            <w:left w:w="0" w:type="dxa"/>
            <w:bottom w:w="0" w:type="dxa"/>
            <w:right w:w="0" w:type="dxa"/>
          </w:tcMar>
        </w:tcPr>
        <w:p w14:paraId="63DD5FD5" w14:textId="77777777" w:rsidR="00335172" w:rsidRDefault="00335172">
          <w:pPr>
            <w:spacing w:after="0"/>
            <w:jc w:val="right"/>
          </w:pP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D073EA" w14:textId="77777777" w:rsidR="00335172" w:rsidRDefault="003351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4246694">
    <w:abstractNumId w:val="8"/>
  </w:num>
  <w:num w:numId="2" w16cid:durableId="1088430702">
    <w:abstractNumId w:val="6"/>
  </w:num>
  <w:num w:numId="3" w16cid:durableId="254021613">
    <w:abstractNumId w:val="5"/>
  </w:num>
  <w:num w:numId="4" w16cid:durableId="415248831">
    <w:abstractNumId w:val="4"/>
  </w:num>
  <w:num w:numId="5" w16cid:durableId="1333680802">
    <w:abstractNumId w:val="7"/>
  </w:num>
  <w:num w:numId="6" w16cid:durableId="2114393594">
    <w:abstractNumId w:val="3"/>
  </w:num>
  <w:num w:numId="7" w16cid:durableId="29233813">
    <w:abstractNumId w:val="2"/>
  </w:num>
  <w:num w:numId="8" w16cid:durableId="908074904">
    <w:abstractNumId w:val="1"/>
  </w:num>
  <w:num w:numId="9" w16cid:durableId="8914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3AD8"/>
    <w:rsid w:val="0029639D"/>
    <w:rsid w:val="00326F90"/>
    <w:rsid w:val="00335172"/>
    <w:rsid w:val="00AA1D8D"/>
    <w:rsid w:val="00B47730"/>
    <w:rsid w:val="00CB0664"/>
    <w:rsid w:val="00CF08E8"/>
    <w:rsid w:val="00F114BA"/>
    <w:rsid w:val="00FB7C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7EB049"/>
  <w14:defaultImageDpi w14:val="300"/>
  <w15:docId w15:val="{CD54FED4-E58F-4C3C-A42D-E718C6FE1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jc w:val="both"/>
    </w:pPr>
    <w:rPr>
      <w:rFonts w:ascii="Times New Roman" w:eastAsia="Times New Roman" w:hAnsi="Times New Roman" w:cs="Times New Roman"/>
      <w:sz w:val="20"/>
    </w:rPr>
  </w:style>
  <w:style w:type="paragraph" w:styleId="Heading1">
    <w:name w:val="heading 1"/>
    <w:basedOn w:val="Normal"/>
    <w:next w:val="Normal"/>
    <w:link w:val="Heading1Char"/>
    <w:uiPriority w:val="9"/>
    <w:qFormat/>
    <w:rsid w:val="00FC693F"/>
    <w:pPr>
      <w:keepNext/>
      <w:keepLines/>
      <w:spacing w:before="220" w:after="90" w:line="264" w:lineRule="auto"/>
      <w:jc w:val="left"/>
      <w:outlineLvl w:val="0"/>
    </w:pPr>
    <w:rPr>
      <w:rFonts w:asciiTheme="majorHAnsi" w:eastAsiaTheme="majorEastAsia" w:hAnsiTheme="majorHAnsi" w:cstheme="majorBidi"/>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140" w:after="60" w:line="264" w:lineRule="auto"/>
      <w:jc w:val="left"/>
      <w:outlineLvl w:val="1"/>
    </w:pPr>
    <w:rPr>
      <w:rFonts w:asciiTheme="majorHAnsi" w:eastAsiaTheme="majorEastAsia" w:hAnsiTheme="majorHAnsi" w:cstheme="majorBidi"/>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160" w:line="264" w:lineRule="auto"/>
      <w:outlineLvl w:val="2"/>
    </w:pPr>
    <w:rPr>
      <w:rFonts w:asciiTheme="majorHAnsi" w:eastAsiaTheme="majorEastAsia" w:hAnsiTheme="majorHAnsi" w:cstheme="majorBid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Title">
    <w:name w:val="Paper Title"/>
    <w:pPr>
      <w:keepNext/>
      <w:spacing w:before="200" w:after="180" w:line="264" w:lineRule="auto"/>
    </w:pPr>
    <w:rPr>
      <w:rFonts w:ascii="Arial" w:eastAsia="Times New Roman" w:hAnsi="Arial" w:cs="Times New Roman"/>
      <w:color w:val="000000"/>
      <w:sz w:val="40"/>
    </w:rPr>
  </w:style>
  <w:style w:type="paragraph" w:customStyle="1" w:styleId="AuthorLine">
    <w:name w:val="Author Line"/>
    <w:pPr>
      <w:keepNext/>
      <w:spacing w:after="40" w:line="264" w:lineRule="auto"/>
    </w:pPr>
    <w:rPr>
      <w:rFonts w:ascii="Arial" w:eastAsia="Times New Roman" w:hAnsi="Arial" w:cs="Times New Roman"/>
      <w:color w:val="222222"/>
    </w:rPr>
  </w:style>
  <w:style w:type="paragraph" w:customStyle="1" w:styleId="Affiliation">
    <w:name w:val="Affiliation"/>
    <w:pPr>
      <w:keepNext/>
      <w:spacing w:after="30" w:line="264" w:lineRule="auto"/>
    </w:pPr>
    <w:rPr>
      <w:rFonts w:ascii="Times New Roman" w:eastAsia="Times New Roman" w:hAnsi="Times New Roman" w:cs="Times New Roman"/>
      <w:i/>
      <w:color w:val="5C6269"/>
      <w:sz w:val="18"/>
    </w:rPr>
  </w:style>
  <w:style w:type="paragraph" w:customStyle="1" w:styleId="TableCaption">
    <w:name w:val="Table Caption"/>
    <w:pPr>
      <w:keepNext/>
      <w:spacing w:before="100" w:after="40" w:line="264" w:lineRule="auto"/>
    </w:pPr>
    <w:rPr>
      <w:rFonts w:ascii="Arial" w:eastAsia="Times New Roman" w:hAnsi="Arial" w:cs="Times New Roman"/>
      <w:b/>
      <w:color w:val="000000"/>
      <w:sz w:val="17"/>
    </w:rPr>
  </w:style>
  <w:style w:type="paragraph" w:customStyle="1" w:styleId="FigureCaption">
    <w:name w:val="Figure Caption"/>
    <w:pPr>
      <w:keepNext/>
      <w:spacing w:before="40" w:after="100" w:line="264" w:lineRule="auto"/>
      <w:jc w:val="center"/>
    </w:pPr>
    <w:rPr>
      <w:rFonts w:ascii="Times New Roman" w:eastAsia="Times New Roman" w:hAnsi="Times New Roman" w:cs="Times New Roman"/>
      <w:i/>
      <w:color w:val="333333"/>
      <w:sz w:val="17"/>
    </w:rPr>
  </w:style>
  <w:style w:type="paragraph" w:customStyle="1" w:styleId="SourceNote">
    <w:name w:val="Source Note"/>
    <w:pPr>
      <w:spacing w:after="80" w:line="264" w:lineRule="auto"/>
    </w:pPr>
    <w:rPr>
      <w:rFonts w:ascii="Times New Roman" w:eastAsia="Times New Roman" w:hAnsi="Times New Roman" w:cs="Times New Roman"/>
      <w:i/>
      <w:color w:val="5C6269"/>
      <w:sz w:val="16"/>
    </w:rPr>
  </w:style>
  <w:style w:type="paragraph" w:customStyle="1" w:styleId="References">
    <w:name w:val="References"/>
    <w:pPr>
      <w:spacing w:after="44" w:line="240" w:lineRule="auto"/>
      <w:ind w:left="259" w:hanging="259"/>
    </w:pPr>
    <w:rPr>
      <w:rFonts w:ascii="Times New Roman" w:eastAsia="Times New Roman" w:hAnsi="Times New Roman" w:cs="Times New Roman"/>
      <w:color w:val="222222"/>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3" Type="http://schemas.openxmlformats.org/officeDocument/2006/relationships/hyperlink" Target="mailto:m.fatahi@khorasan.ac.ir" TargetMode="External"/><Relationship Id="rId2" Type="http://schemas.openxmlformats.org/officeDocument/2006/relationships/hyperlink" Target="mailto:ehsan20320@gmail.com" TargetMode="External"/><Relationship Id="rId1" Type="http://schemas.openxmlformats.org/officeDocument/2006/relationships/hyperlink" Target="mailto:jalilahmad1309@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5934</Words>
  <Characters>33829</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Leakage-Controlled Multi-Horizon Direction Forecasting of XAUUSD: An Evaluation of Hurst-Based Regime Features</dc:title>
  <dc:subject>Research article</dc:subject>
  <dc:creator>Jalil Ahmad Afshar; Ehsan Aryanfar</dc:creator>
  <cp:keywords/>
  <dc:description>Academic Supervisor: Mahboubeh Fattahi</dc:description>
  <cp:lastModifiedBy>Jalil</cp:lastModifiedBy>
  <cp:revision>4</cp:revision>
  <cp:lastPrinted>2026-09-09T08:08:00Z</cp:lastPrinted>
  <dcterms:created xsi:type="dcterms:W3CDTF">2013-12-23T23:15:00Z</dcterms:created>
  <dcterms:modified xsi:type="dcterms:W3CDTF">2026-09-09T08:09:00Z</dcterms:modified>
  <cp:category/>
</cp:coreProperties>
</file>