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left"/>
      </w:pPr>
      <w:r>
        <w:rPr>
          <w:b/>
          <w:color w:val="244062"/>
          <w:sz w:val="26"/>
        </w:rPr>
        <w:t>SISTEMA CVM</w:t>
      </w:r>
    </w:p>
    <w:p>
      <w:pPr>
        <w:pStyle w:val="Title"/>
      </w:pPr>
      <w:r>
        <w:t>Handoff da Fase C</w:t>
        <w:br/>
        <w:t>PDF Financeiro Profissional</w:t>
      </w:r>
    </w:p>
    <w:p>
      <w:r>
        <w:rPr>
          <w:color w:val="667085"/>
          <w:sz w:val="28"/>
        </w:rPr>
        <w:t>Especificação funcional, metodológica e visual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D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  <w:sz w:val="20"/>
              </w:rPr>
              <w:t>STATUS</w:t>
              <w:br/>
            </w:r>
            <w:r>
              <w:rPr>
                <w:color w:val="1F2937"/>
                <w:sz w:val="18"/>
              </w:rPr>
              <w:t>Documento normativo da implementação do PDF. Deve ser utilizado junto ao MODELO_VISUAL_PDF_FINANCEIRO_VALE_V2_2026-09-18.pdf, que funciona como golden sample visual.</w:t>
            </w:r>
          </w:p>
        </w:tc>
      </w:tr>
    </w:tbl>
    <w:p>
      <w:pPr>
        <w:spacing w:after="0"/>
      </w:pPr>
    </w:p>
    <w:p>
      <w:pPr>
        <w:spacing w:before="680"/>
      </w:pPr>
      <w:r>
        <w:rPr>
          <w:b/>
          <w:color w:val="17365D"/>
        </w:rPr>
        <w:t xml:space="preserve">Branch congelada: </w:t>
      </w:r>
      <w:r>
        <w:rPr>
          <w:sz w:val="20"/>
        </w:rPr>
        <w:t>desenvolvimento-financeiras</w:t>
        <w:br/>
      </w:r>
      <w:r>
        <w:rPr>
          <w:b/>
          <w:color w:val="17365D"/>
        </w:rPr>
        <w:t xml:space="preserve">Commit estabilizado: </w:t>
      </w:r>
      <w:r>
        <w:rPr>
          <w:sz w:val="20"/>
        </w:rPr>
        <w:t>36a242c - fix: trata financeira com periodo insuficiente</w:t>
        <w:br/>
      </w:r>
      <w:r>
        <w:rPr>
          <w:b/>
          <w:color w:val="17365D"/>
        </w:rPr>
        <w:t xml:space="preserve">Checkpoint: </w:t>
      </w:r>
      <w:r>
        <w:rPr>
          <w:sz w:val="20"/>
        </w:rPr>
        <w:t>checkpoint-financeiras-pos-b10-2026-09-18</w:t>
        <w:br/>
      </w:r>
      <w:r>
        <w:rPr>
          <w:b/>
          <w:color w:val="17365D"/>
        </w:rPr>
        <w:t xml:space="preserve">Núcleo: </w:t>
      </w:r>
      <w:r>
        <w:rPr>
          <w:sz w:val="20"/>
        </w:rPr>
        <w:t>PADRAO + FINANCEIRA estabilizados</w:t>
        <w:br/>
      </w:r>
      <w:r>
        <w:rPr>
          <w:b/>
          <w:color w:val="17365D"/>
        </w:rPr>
        <w:t xml:space="preserve">Escopo ativo: </w:t>
      </w:r>
      <w:r>
        <w:rPr>
          <w:sz w:val="20"/>
        </w:rPr>
        <w:t>Fase C - PDF Financeiro Profissional</w:t>
        <w:br/>
      </w:r>
    </w:p>
    <w:p>
      <w:pPr>
        <w:spacing w:before="700"/>
      </w:pPr>
      <w:r>
        <w:rPr>
          <w:b/>
          <w:color w:val="A04628"/>
          <w:sz w:val="20"/>
        </w:rPr>
        <w:t>Não implementar nesta fase: Mercado e Proventos, Relatório Completo ou Simulação Histórica.</w:t>
      </w:r>
    </w:p>
    <w:p>
      <w:r>
        <w:br w:type="page"/>
      </w:r>
    </w:p>
    <w:p>
      <w:pPr>
        <w:pStyle w:val="Heading1"/>
      </w:pPr>
      <w:r>
        <w:t>1. Finalidade e autoridade deste handoff</w:t>
      </w:r>
    </w:p>
    <w:p>
      <w:r>
        <w:t>Este documento é a especificação oficial da Fase C. O PDF da VALE V2 é a referência visual. Em caso de conflito, as regras metodológicas e funcionais deste handoff prevalecem; o modelo visual prevalece apenas em hierarquia, composição e aparência.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  <w:sz w:val="20"/>
              </w:rPr>
              <w:t>Regra central</w:t>
              <w:br/>
            </w:r>
            <w:r>
              <w:rPr>
                <w:color w:val="1F2937"/>
                <w:sz w:val="18"/>
              </w:rPr>
              <w:t>O PDF é uma camada de apresentação. Não recalcula indicadores, não consulta o DuckDB para refazer resultados e não cria uma narrativa financeira paralela.</w:t>
            </w:r>
          </w:p>
        </w:tc>
      </w:tr>
    </w:tbl>
    <w:p>
      <w:pPr>
        <w:spacing w:after="0"/>
      </w:pPr>
    </w:p>
    <w:p>
      <w:pPr>
        <w:pStyle w:val="Heading2"/>
      </w:pPr>
      <w:r>
        <w:t>1.1 Objetivos</w:t>
      </w:r>
    </w:p>
    <w:p>
      <w:pPr>
        <w:pStyle w:val="ListBullet"/>
        <w:spacing w:after="60"/>
      </w:pPr>
      <w:r>
        <w:rPr>
          <w:sz w:val="19"/>
        </w:rPr>
        <w:t>Gerar um documento independente, paginado, legível e profissional a partir dos resultados oficiais do Sistema CVM.</w:t>
      </w:r>
    </w:p>
    <w:p>
      <w:pPr>
        <w:pStyle w:val="ListBullet"/>
        <w:spacing w:after="60"/>
      </w:pPr>
      <w:r>
        <w:rPr>
          <w:sz w:val="19"/>
        </w:rPr>
        <w:t>Preservar a separação metodológica entre empresas PADRAO e FINANCEIRA.</w:t>
      </w:r>
    </w:p>
    <w:p>
      <w:pPr>
        <w:pStyle w:val="ListBullet"/>
        <w:spacing w:after="60"/>
      </w:pPr>
      <w:r>
        <w:rPr>
          <w:sz w:val="19"/>
        </w:rPr>
        <w:t>Oferecer modalidades Executivo/Analista e Acadêmico sem duplicar motores de cálculo.</w:t>
      </w:r>
    </w:p>
    <w:p>
      <w:pPr>
        <w:pStyle w:val="ListBullet"/>
        <w:spacing w:after="60"/>
      </w:pPr>
      <w:r>
        <w:rPr>
          <w:sz w:val="19"/>
        </w:rPr>
        <w:t>Permitir expansão futura por seções opcionais sem acoplar o PDF a Mercado/Proventos ou Simulação Histórica.</w:t>
      </w:r>
    </w:p>
    <w:p>
      <w:pPr>
        <w:pStyle w:val="Heading2"/>
      </w:pPr>
      <w:r>
        <w:t>1.2 Fora do escopo</w:t>
      </w:r>
    </w:p>
    <w:p>
      <w:pPr>
        <w:pStyle w:val="ListBullet"/>
        <w:spacing w:after="60"/>
      </w:pPr>
      <w:r>
        <w:rPr>
          <w:sz w:val="19"/>
        </w:rPr>
        <w:t>Preços de ações, dividendos, JCP, splits, grupamentos, volume e benchmarks.</w:t>
      </w:r>
    </w:p>
    <w:p>
      <w:pPr>
        <w:pStyle w:val="ListBullet"/>
        <w:spacing w:after="60"/>
      </w:pPr>
      <w:r>
        <w:rPr>
          <w:sz w:val="19"/>
        </w:rPr>
        <w:t>Recomendação de compra/venda, score, preço-alvo ou previsão.</w:t>
      </w:r>
    </w:p>
    <w:p>
      <w:pPr>
        <w:pStyle w:val="ListBullet"/>
        <w:spacing w:after="60"/>
      </w:pPr>
      <w:r>
        <w:rPr>
          <w:sz w:val="19"/>
        </w:rPr>
        <w:t>Refatoração do núcleo PADRAO ou FINANCEIRA sem problema comprovado.</w:t>
      </w:r>
    </w:p>
    <w:p>
      <w:pPr>
        <w:pStyle w:val="ListBullet"/>
        <w:spacing w:after="60"/>
      </w:pPr>
      <w:r>
        <w:rPr>
          <w:sz w:val="19"/>
        </w:rPr>
        <w:t>Qualquer recálculo financeiro dentro do gerador PDF.</w:t>
      </w:r>
    </w:p>
    <w:p>
      <w:pPr>
        <w:pStyle w:val="Heading1"/>
      </w:pPr>
      <w:r>
        <w:t>2. Arquitetura mínima aprovada</w:t>
      </w:r>
    </w:p>
    <w:p>
      <w:r>
        <w:t>Fluxo obrigatório: DFP tratada -&gt; demonstrações -&gt; indicadores -&gt; narrativa/validação -&gt; contexto único do relatório -&gt; gerador PDF -&gt; bytes para download.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74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600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src/contexto_relatorio.py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Montar e validar o payload com objetos já calculados.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Não calcular indicador, AV, AH, DuPont ou status.</w:t>
            </w:r>
          </w:p>
        </w:tc>
      </w:tr>
      <w:tr>
        <w:tc>
          <w:tcPr>
            <w:tcW w:type="dxa" w:w="230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src/pdf_financeiro.py</w:t>
            </w:r>
          </w:p>
        </w:tc>
        <w:tc>
          <w:tcPr>
            <w:tcW w:type="dxa" w:w="37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Compor páginas, tabelas, imagens, cabeçalhos, rodapés e bytes PDF.</w:t>
            </w:r>
          </w:p>
        </w:tc>
        <w:tc>
          <w:tcPr>
            <w:tcW w:type="dxa" w:w="360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Não importar banco/motores de cálculo.</w:t>
            </w:r>
          </w:p>
        </w:tc>
      </w:tr>
      <w:t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tests/test_pdf_financeiro.py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Contrato, invariantes, geração válida e regressões por layout/período.</w:t>
            </w:r>
          </w:p>
        </w:tc>
        <w:tc>
          <w:tcPr>
            <w:tcW w:type="dxa" w:w="36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Testar PADRAO, FINANCEIRA, 1/2/3 exercícios e sentinelas.</w:t>
            </w:r>
          </w:p>
        </w:tc>
      </w:tr>
    </w:tbl>
    <w:p>
      <w:pPr>
        <w:pStyle w:val="Heading2"/>
      </w:pPr>
      <w:r>
        <w:t>2.1 Módulos existentes a reutilizar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76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Reutilização no PDF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src/padronizacao.py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BPA, BPP e DRE já tratados para apresentação.</w:t>
            </w:r>
          </w:p>
        </w:tc>
      </w:tr>
      <w:tr>
        <w:tc>
          <w:tcPr>
            <w:tcW w:type="dxa" w:w="288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src/indicadores.py</w:t>
            </w:r>
          </w:p>
        </w:tc>
        <w:tc>
          <w:tcPr>
            <w:tcW w:type="dxa" w:w="676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12 indicadores PADRAO, fórmulas e DuPont quando aplicável.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src/indicadores_financeiros.py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7 métricas setoriais FINANCEIRA, fórmulas, grupos e status.</w:t>
            </w:r>
          </w:p>
        </w:tc>
      </w:tr>
      <w:tr>
        <w:tc>
          <w:tcPr>
            <w:tcW w:type="dxa" w:w="288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src/relatorio.py</w:t>
            </w:r>
          </w:p>
        </w:tc>
        <w:tc>
          <w:tcPr>
            <w:tcW w:type="dxa" w:w="676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Narrativa oficial PADRAO.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src/relatorio_financeiro.py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Narrativa oficial FINANCEIRA e tabela consolidada dos 9 indicadores.</w:t>
            </w:r>
          </w:p>
        </w:tc>
      </w:tr>
      <w:tr>
        <w:tc>
          <w:tcPr>
            <w:tcW w:type="dxa" w:w="288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src/validacao.py</w:t>
            </w:r>
          </w:p>
        </w:tc>
        <w:tc>
          <w:tcPr>
            <w:tcW w:type="dxa" w:w="676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Validação, severidade e resumo.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src/graficos.py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Gráficos existentes e futura apresentação setorial sem cálculo financeiro.</w:t>
            </w:r>
          </w:p>
        </w:tc>
      </w:tr>
      <w:tr>
        <w:tc>
          <w:tcPr>
            <w:tcW w:type="dxa" w:w="288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src/demonstracoes.py</w:t>
            </w:r>
          </w:p>
        </w:tc>
        <w:tc>
          <w:tcPr>
            <w:tcW w:type="dxa" w:w="676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Metadados de fonte, versão e período.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src/exportacao.py</w:t>
            </w:r>
          </w:p>
        </w:tc>
        <w:tc>
          <w:tcPr>
            <w:tcW w:type="dxa" w:w="67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Referência de consistência e convenções de exportação.</w:t>
            </w:r>
          </w:p>
        </w:tc>
      </w:tr>
    </w:tbl>
    <w:p>
      <w:r>
        <w:t>Não criar src/narrativa_pdf.py na arquitetura inicial. A narrativa deve continuar vindo dos motores existentes.</w:t>
      </w:r>
    </w:p>
    <w:p>
      <w:pPr>
        <w:pStyle w:val="Heading1"/>
      </w:pPr>
      <w:r>
        <w:t>3. Contrato do contexto do relatório</w:t>
      </w:r>
    </w:p>
    <w:p>
      <w:r>
        <w:t>O contexto é um objeto estruturado, montado a partir dos mesmos DataFrames e relatórios já usados pela UI/Excel. Deve possuir versão explícita para permitir evolução compatível.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4320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Conteúdo mínimo</w:t>
            </w:r>
          </w:p>
        </w:tc>
        <w:tc>
          <w:tcPr>
            <w:tcW w:type="dxa" w:w="3456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VERSAO_CONTRATO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Identificador do schema.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Permite evolução sem quebrar renderizadores.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IDENTIFICACAO</w:t>
            </w:r>
          </w:p>
        </w:tc>
        <w:tc>
          <w:tcPr>
            <w:tcW w:type="dxa" w:w="432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DENOM_CIA, CD_CVM, CNPJ quando disponível, layout, fonte, modalidade.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Companhia não é ticker.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PERIODO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ANOS_USADOS, QTD_EXERCICIOS, ANO_BASE, INTERMEDIARIO, RECENTE, MODO_TEMPORAL.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Nunca inferir exercício ausente.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DEMONSTRACOES</w:t>
            </w:r>
          </w:p>
        </w:tc>
        <w:tc>
          <w:tcPr>
            <w:tcW w:type="dxa" w:w="432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BPA, BPP e DRE tratados.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Mesmos objetos da UI.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INDICADORES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ANALISE e BASE_OFICIAL.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Sem recomposição no PDF.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NARRATIVA</w:t>
            </w:r>
          </w:p>
        </w:tc>
        <w:tc>
          <w:tcPr>
            <w:tcW w:type="dxa" w:w="432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Resultado do motor oficial.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Executivo e Acadêmico selecionam profundidade, não recalculam.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VALIDACAO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STATUS_GERAL e tabela de auditoria.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Preservar severidade.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METODOLOGIA</w:t>
            </w:r>
          </w:p>
        </w:tc>
        <w:tc>
          <w:tcPr>
            <w:tcW w:type="dxa" w:w="432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Fórmulas, regras, unidades e limitações.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Específica por layout.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FONTES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Metadados de origem/versão/período.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Rastreabilidade.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FIGURAS</w:t>
            </w:r>
          </w:p>
        </w:tc>
        <w:tc>
          <w:tcPr>
            <w:tcW w:type="dxa" w:w="432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Imagens/figuras já derivadas dos resultados oficiais.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Sem cálculo financeiro visual.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EXTENSOES</w:t>
            </w:r>
          </w:p>
        </w:tc>
        <w:tc>
          <w:tcPr>
            <w:tcW w:type="dxa" w:w="43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Dicionário vazio na Fase C.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Reserva para seções futuras opcionais.</w:t>
            </w:r>
          </w:p>
        </w:tc>
      </w:tr>
    </w:tbl>
    <w:p>
      <w:pPr>
        <w:pStyle w:val="Heading2"/>
      </w:pPr>
      <w:r>
        <w:t>3.1 Contrato do gerador PDF</w:t>
      </w:r>
    </w:p>
    <w:p>
      <w:r>
        <w:t>Entrada conceitual: gerar_pdf_financeiro(contexto, modalidade). Saída: objeto com conteudo: bytes, nome_arquivo, mime application/pdf e metadados mínimos do documento.</w:t>
      </w:r>
    </w:p>
    <w:p>
      <w:pPr>
        <w:pStyle w:val="ListBullet"/>
        <w:spacing w:after="60"/>
      </w:pPr>
      <w:r>
        <w:rPr>
          <w:sz w:val="19"/>
        </w:rPr>
        <w:t>A geração padrão permanece em memória com BytesIO; não exigir gravação persistente.</w:t>
      </w:r>
    </w:p>
    <w:p>
      <w:pPr>
        <w:pStyle w:val="ListBullet"/>
        <w:spacing w:after="60"/>
      </w:pPr>
      <w:r>
        <w:rPr>
          <w:sz w:val="19"/>
        </w:rPr>
        <w:t>Nome de arquivo determinístico e sanitizado: Sistema-CVM-&lt;empresa&gt;-&lt;periodo&gt;-&lt;modalidade&gt;.pdf.</w:t>
      </w:r>
    </w:p>
    <w:p>
      <w:pPr>
        <w:pStyle w:val="ListBullet"/>
        <w:spacing w:after="60"/>
      </w:pPr>
      <w:r>
        <w:rPr>
          <w:sz w:val="19"/>
        </w:rPr>
        <w:t>O renderer deve falhar de forma controlada quando o contexto violar o contrato, sem recalcular dados para “corrigir” o problema.</w:t>
      </w:r>
    </w:p>
    <w:p>
      <w:pPr>
        <w:pStyle w:val="Heading1"/>
      </w:pPr>
      <w:r>
        <w:t>4. Regra por quantidade de exercícios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152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Exercícios</w:t>
            </w:r>
          </w:p>
        </w:tc>
        <w:tc>
          <w:tcPr>
            <w:tcW w:type="dxa" w:w="2160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MODO_TEMPORAL</w:t>
            </w:r>
          </w:p>
        </w:tc>
        <w:tc>
          <w:tcPr>
            <w:tcW w:type="dxa" w:w="460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Comportamento</w:t>
            </w:r>
          </w:p>
        </w:tc>
        <w:tc>
          <w:tcPr>
            <w:tcW w:type="dxa" w:w="2160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PDF profissional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1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PERIODO_INSUFICIENTE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Valores pontuais podem existir, mas não há análise comparativa.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Indisponível. Botão desabilitado e mensagem controlada.</w:t>
            </w:r>
          </w:p>
        </w:tc>
      </w:tr>
      <w:tr>
        <w:tc>
          <w:tcPr>
            <w:tcW w:type="dxa" w:w="115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2</w:t>
            </w:r>
          </w:p>
        </w:tc>
        <w:tc>
          <w:tcPr>
            <w:tcW w:type="dxa" w:w="216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COMPARATIVO</w:t>
            </w:r>
          </w:p>
        </w:tc>
        <w:tc>
          <w:tcPr>
            <w:tcW w:type="dxa" w:w="460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Base -&gt; recente. Linguagem de aumento, queda, estabilidade e variação no período.</w:t>
            </w:r>
          </w:p>
        </w:tc>
        <w:tc>
          <w:tcPr>
            <w:tcW w:type="dxa" w:w="2160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Permitido.</w:t>
            </w:r>
          </w:p>
        </w:tc>
      </w:tr>
      <w:tr>
        <w:tc>
          <w:tcPr>
            <w:tcW w:type="dxa" w:w="11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3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TRAJETORIA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Base -&gt; intermediário -&gt; recente. Pode falar em recuperação, reversão, aceleração etc.</w:t>
            </w:r>
          </w:p>
        </w:tc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Cenário ideal.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  <w:sz w:val="20"/>
              </w:rPr>
              <w:t>Decisão fechada para 1 exercício</w:t>
              <w:br/>
            </w:r>
            <w:r>
              <w:rPr>
                <w:color w:val="1F2937"/>
                <w:sz w:val="18"/>
              </w:rPr>
              <w:t>Não criar “Relatório Técnico de Período Insuficiente” na Fase C. Preservar o contrato atual de gerar_relatorio_financeiro(), que exige pelo menos dois exercícios.</w:t>
            </w:r>
          </w:p>
        </w:tc>
      </w:tr>
    </w:tbl>
    <w:p>
      <w:pPr>
        <w:spacing w:after="0"/>
      </w:pPr>
    </w:p>
    <w:p>
      <w:pPr>
        <w:pStyle w:val="Heading2"/>
      </w:pPr>
      <w:r>
        <w:t>4.1 Regra textual para 2 exercícios</w:t>
      </w:r>
    </w:p>
    <w:p>
      <w:pPr>
        <w:pStyle w:val="ListBullet"/>
        <w:spacing w:after="60"/>
      </w:pPr>
      <w:r>
        <w:rPr>
          <w:sz w:val="19"/>
        </w:rPr>
        <w:t>Nunca escrever “três exercícios”.</w:t>
      </w:r>
    </w:p>
    <w:p>
      <w:pPr>
        <w:pStyle w:val="ListBullet"/>
        <w:spacing w:after="60"/>
      </w:pPr>
      <w:r>
        <w:rPr>
          <w:sz w:val="19"/>
        </w:rPr>
        <w:t>Nunca utilizar “ano intermediário”.</w:t>
      </w:r>
    </w:p>
    <w:p>
      <w:pPr>
        <w:pStyle w:val="ListBullet"/>
        <w:spacing w:after="60"/>
      </w:pPr>
      <w:r>
        <w:rPr>
          <w:sz w:val="19"/>
        </w:rPr>
        <w:t>Não classificar recuperação/reversão que exija duas transições.</w:t>
      </w:r>
    </w:p>
    <w:p>
      <w:pPr>
        <w:pStyle w:val="ListBullet"/>
        <w:spacing w:after="60"/>
      </w:pPr>
      <w:r>
        <w:rPr>
          <w:sz w:val="19"/>
        </w:rPr>
        <w:t>No motor FINANCEIRA, testar CRESC_* especificamente; se houver texto inadequado, corrigir o motor original, não o PDF.</w:t>
      </w:r>
    </w:p>
    <w:p>
      <w:pPr>
        <w:pStyle w:val="Heading1"/>
      </w:pPr>
      <w:r>
        <w:t>5. Separação metodológica PADRAO x FINANCEIRA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3816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PADRAO</w:t>
            </w:r>
          </w:p>
        </w:tc>
        <w:tc>
          <w:tcPr>
            <w:tcW w:type="dxa" w:w="446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FINANCEIRA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Indicadores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12 tradicionais.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9 aplicáveis: CAP_CONTABIL, PF_ATIVO, CRESC_ATIVO, CRESC_PL, CRESC_LL, RBI_ATIVO_MEDIO, PRETRIB_ATIVO_MEDIO, ROA, ROE.</w:t>
            </w:r>
          </w:p>
        </w:tc>
      </w:tr>
      <w:tr>
        <w:tc>
          <w:tcPr>
            <w:tcW w:type="dxa" w:w="16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DuPont</w:t>
            </w:r>
          </w:p>
        </w:tc>
        <w:tc>
          <w:tcPr>
            <w:tcW w:type="dxa" w:w="381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Somente quando aplicável e suportado pelo motor.</w:t>
            </w:r>
          </w:p>
        </w:tc>
        <w:tc>
          <w:tcPr>
            <w:tcW w:type="dxa" w:w="446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Não utilizar DuPont tradicional.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DRE / AV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Regra tradicional atual.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AV tradicional da DRE = N/A quando a base metodológica não é válida.</w:t>
            </w:r>
          </w:p>
        </w:tc>
      </w:tr>
      <w:tr>
        <w:tc>
          <w:tcPr>
            <w:tcW w:type="dxa" w:w="16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Indicadores incompatíveis</w:t>
            </w:r>
          </w:p>
        </w:tc>
        <w:tc>
          <w:tcPr>
            <w:tcW w:type="dxa" w:w="381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N/A quando o motor assim classificar.</w:t>
            </w:r>
          </w:p>
        </w:tc>
        <w:tc>
          <w:tcPr>
            <w:tcW w:type="dxa" w:w="446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IPL, PCT, CE, EFSAT, LG, LC, LS, ICJ, GA e RSV não entram no corpo analítico.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Sentinelas</w:t>
            </w:r>
          </w:p>
        </w:tc>
        <w:tc>
          <w:tcPr>
            <w:tcW w:type="dxa" w:w="38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Preservar N/D e N/A.</w:t>
            </w:r>
          </w:p>
        </w:tc>
        <w:tc>
          <w:tcPr>
            <w:tcW w:type="dxa" w:w="44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Preservar N/D e N/A, inclusive mudança de sinal do lucro.</w:t>
            </w:r>
          </w:p>
        </w:tc>
      </w:tr>
    </w:tbl>
    <w:p>
      <w:pPr>
        <w:pStyle w:val="Heading1"/>
      </w:pPr>
      <w:r>
        <w:t>6. Estrutura obrigatória do PDF final</w:t>
      </w:r>
    </w:p>
    <w:p>
      <w:r>
        <w:t>A estrutura abaixo substitui o primeiro protótipo. Deve seguir o VALE V2 como golden sample visual.</w:t>
      </w:r>
    </w:p>
    <w:p>
      <w:r>
        <w:rPr>
          <w:b/>
          <w:color w:val="244062"/>
          <w:sz w:val="21"/>
        </w:rPr>
        <w:t>1. Capa e identificação</w:t>
      </w:r>
      <w:r>
        <w:t xml:space="preserve"> - Empresa, CD_CVM, período, layout, modalidade, data de geração. Visual limpo; sem roadmap ou notas internas.</w:t>
      </w:r>
    </w:p>
    <w:p>
      <w:r>
        <w:rPr>
          <w:b/>
          <w:color w:val="244062"/>
          <w:sz w:val="21"/>
        </w:rPr>
        <w:t>2. Resumo executivo</w:t>
      </w:r>
      <w:r>
        <w:t xml:space="preserve"> - No máximo uma página. Sintetiza principais movimentos, liquidez/rentabilidade e ressalvas. Não repetir os 12 indicadores.</w:t>
      </w:r>
    </w:p>
    <w:p>
      <w:r>
        <w:rPr>
          <w:b/>
          <w:color w:val="244062"/>
          <w:sz w:val="21"/>
        </w:rPr>
        <w:t>3. Visão geral financeira</w:t>
      </w:r>
      <w:r>
        <w:t xml:space="preserve"> - Tabela compacta de grandezas/indicadores selecionados e 3-5 observações materialmente relevantes.</w:t>
      </w:r>
    </w:p>
    <w:p>
      <w:r>
        <w:rPr>
          <w:b/>
          <w:color w:val="244062"/>
          <w:sz w:val="21"/>
        </w:rPr>
        <w:t>4. Estrutura de capital / capitalização e funding</w:t>
      </w:r>
      <w:r>
        <w:t xml:space="preserve"> - Tabela + gráfico + interpretação integrada. Não produzir um parágrafo para cada indicador.</w:t>
      </w:r>
    </w:p>
    <w:p>
      <w:r>
        <w:rPr>
          <w:b/>
          <w:color w:val="244062"/>
          <w:sz w:val="21"/>
        </w:rPr>
        <w:t>5. Liquidez / crescimento / capacidade financeira</w:t>
      </w:r>
      <w:r>
        <w:t xml:space="preserve"> - Somente grupos aplicáveis ao layout; texto conecta métricas e mudanças.</w:t>
      </w:r>
    </w:p>
    <w:p>
      <w:r>
        <w:rPr>
          <w:b/>
          <w:color w:val="244062"/>
          <w:sz w:val="21"/>
        </w:rPr>
        <w:t>6. Eficiência e rentabilidade</w:t>
      </w:r>
      <w:r>
        <w:t xml:space="preserve"> - GA/RSV/ROA/ROE e DuPont quando PADRAO; métricas setoriais correspondentes em FINANCEIRA.</w:t>
      </w:r>
    </w:p>
    <w:p>
      <w:r>
        <w:rPr>
          <w:b/>
          <w:color w:val="244062"/>
          <w:sz w:val="21"/>
        </w:rPr>
        <w:t>7. Principais mudanças do período</w:t>
      </w:r>
      <w:r>
        <w:t xml:space="preserve"> - Selecionar poucos movimentos materialmente relevantes. Não repetir toda a seção anterior.</w:t>
      </w:r>
    </w:p>
    <w:p>
      <w:r>
        <w:rPr>
          <w:b/>
          <w:color w:val="244062"/>
          <w:sz w:val="21"/>
        </w:rPr>
        <w:t>8. Pontos de atenção e ressalvas</w:t>
      </w:r>
      <w:r>
        <w:t xml:space="preserve"> - N/D, N/A, prejuízo, PL negativo, mudança de sinal, cobertura limitada, ALERTA/BLOQUEIO.</w:t>
      </w:r>
    </w:p>
    <w:p>
      <w:r>
        <w:rPr>
          <w:b/>
          <w:color w:val="244062"/>
          <w:sz w:val="21"/>
        </w:rPr>
        <w:t>9. Conclusão</w:t>
      </w:r>
      <w:r>
        <w:t xml:space="preserve"> - 2-4 parágrafos. Síntese analítica, sem recomendação de investimento.</w:t>
      </w:r>
    </w:p>
    <w:p>
      <w:r>
        <w:rPr>
          <w:b/>
          <w:color w:val="244062"/>
          <w:sz w:val="21"/>
        </w:rPr>
        <w:t>10. Apêndice metodológico</w:t>
      </w:r>
      <w:r>
        <w:t xml:space="preserve"> - Fórmulas, fontes, unidades, período, sentinelas, limitações e rastreabilidade.</w:t>
      </w:r>
    </w:p>
    <w:p>
      <w:pPr>
        <w:pStyle w:val="Heading1"/>
      </w:pPr>
      <w:r>
        <w:t>7. Regras de narrativa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AD3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  <w:sz w:val="20"/>
              </w:rPr>
              <w:t>Princípio editorial</w:t>
              <w:br/>
            </w:r>
            <w:r>
              <w:rPr>
                <w:color w:val="1F2937"/>
                <w:sz w:val="18"/>
              </w:rPr>
              <w:t>A tabela mostra o número; o texto deve acrescentar interpretação. Evitar tabela -&gt; parágrafo que apenas repete os mesmos valores.</w:t>
            </w:r>
          </w:p>
        </w:tc>
      </w:tr>
    </w:tbl>
    <w:p>
      <w:pPr>
        <w:spacing w:after="0"/>
      </w:pPr>
    </w:p>
    <w:p>
      <w:pPr>
        <w:pStyle w:val="ListBullet"/>
        <w:spacing w:after="60"/>
      </w:pPr>
      <w:r>
        <w:rPr>
          <w:sz w:val="19"/>
        </w:rPr>
        <w:t>Relacionar indicadores e movimentos contábeis em blocos, não criar uma sentença mecânica por indicador.</w:t>
      </w:r>
    </w:p>
    <w:p>
      <w:pPr>
        <w:pStyle w:val="ListBullet"/>
        <w:spacing w:after="60"/>
      </w:pPr>
      <w:r>
        <w:rPr>
          <w:sz w:val="19"/>
        </w:rPr>
        <w:t>Distinguir descrição dos dados de interpretação metodológica.</w:t>
      </w:r>
    </w:p>
    <w:p>
      <w:pPr>
        <w:pStyle w:val="ListBullet"/>
        <w:spacing w:after="60"/>
      </w:pPr>
      <w:r>
        <w:rPr>
          <w:sz w:val="19"/>
        </w:rPr>
        <w:t>Não inferir causalidade a partir de coincidência temporal.</w:t>
      </w:r>
    </w:p>
    <w:p>
      <w:pPr>
        <w:pStyle w:val="ListBullet"/>
        <w:spacing w:after="60"/>
      </w:pPr>
      <w:r>
        <w:rPr>
          <w:sz w:val="19"/>
        </w:rPr>
        <w:t>Não recomendar compra/venda, preço-alvo, score ou “saúde financeira” automática.</w:t>
      </w:r>
    </w:p>
    <w:p>
      <w:pPr>
        <w:pStyle w:val="ListBullet"/>
        <w:spacing w:after="60"/>
      </w:pPr>
      <w:r>
        <w:rPr>
          <w:sz w:val="19"/>
        </w:rPr>
        <w:t>Não ocultar limitações materiais, N/D, N/A ou status de validação.</w:t>
      </w:r>
    </w:p>
    <w:p>
      <w:pPr>
        <w:pStyle w:val="ListBullet"/>
        <w:spacing w:after="60"/>
      </w:pPr>
      <w:r>
        <w:rPr>
          <w:sz w:val="19"/>
        </w:rPr>
        <w:t>Modo Executivo: síntese de grupo, mudanças e conclusão. Modo Acadêmico: acrescentar explicações, definições, fórmulas e limitações.</w:t>
      </w:r>
    </w:p>
    <w:p>
      <w:pPr>
        <w:pStyle w:val="Heading2"/>
      </w:pPr>
      <w:r>
        <w:t>7.1 Exemplo do que evitar</w:t>
      </w:r>
    </w:p>
    <w:p>
      <w:r>
        <w:t>Evitar: “A PCT encerrou em 152,00%, ante 129,92%.” se a tabela imediatamente acima já mostra isso.</w:t>
      </w:r>
    </w:p>
    <w:p>
      <w:pPr>
        <w:pStyle w:val="Heading2"/>
      </w:pPr>
      <w:r>
        <w:t>7.2 Exemplo de função esperada do texto</w:t>
      </w:r>
    </w:p>
    <w:p>
      <w:r>
        <w:t>Preferir: “O aumento da participação de capital de terceiros ocorreu juntamente com maior concentração relativa no curto prazo. A leitura deve ser combinada com liquidez e cobertura antes de qualquer conclusão sobre pressão financeira.”</w:t>
      </w:r>
    </w:p>
    <w:p>
      <w:pPr>
        <w:pStyle w:val="Heading1"/>
      </w:pPr>
      <w:r>
        <w:t>8. Padrão visual oficial</w:t>
      </w:r>
    </w:p>
    <w:p>
      <w:r>
        <w:t>O VALE V2 define a linguagem visual. A implementação automática pode adaptar detalhes técnicos, mas deve preservar hierarquia, densidade e clareza.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806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Padrão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Formato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A4 retrato; margens confortáveis; paginação em todas as páginas exceto capa se desejado.</w:t>
            </w:r>
          </w:p>
        </w:tc>
      </w:tr>
      <w:tr>
        <w:tc>
          <w:tcPr>
            <w:tcW w:type="dxa" w:w="19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Paleta</w:t>
            </w:r>
          </w:p>
        </w:tc>
        <w:tc>
          <w:tcPr>
            <w:tcW w:type="dxa" w:w="806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Azul escuro institucional, azul claro de apoio, cinzas neutros; verde/amarelo/vermelho somente para status.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Tipografia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Sans-serif legível; títulos fortes; corpo 9-10 pt; tabelas 7,5-9 pt conforme densidade.</w:t>
            </w:r>
          </w:p>
        </w:tc>
      </w:tr>
      <w:tr>
        <w:tc>
          <w:tcPr>
            <w:tcW w:type="dxa" w:w="19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Tabelas</w:t>
            </w:r>
          </w:p>
        </w:tc>
        <w:tc>
          <w:tcPr>
            <w:tcW w:type="dxa" w:w="806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Cabeçalho escuro; linhas alternadas discretas; números alinhados; cabeçalho repetido em multipágina.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Gráficos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Poucos, simples e explicativos; sem semáforo de desempenho; cores consistentes por série.</w:t>
            </w:r>
          </w:p>
        </w:tc>
      </w:tr>
      <w:tr>
        <w:tc>
          <w:tcPr>
            <w:tcW w:type="dxa" w:w="19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Watermark</w:t>
            </w:r>
          </w:p>
        </w:tc>
        <w:tc>
          <w:tcPr>
            <w:tcW w:type="dxa" w:w="806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Somente protótipos internos. O PDF de produção NÃO terá marca d’água PROTÓTIPO.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Notas internas</w:t>
            </w:r>
          </w:p>
        </w:tc>
        <w:tc>
          <w:tcPr>
            <w:tcW w:type="dxa" w:w="80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Nunca incluir roadmap, arquitetura, escopo futuro ou comentários de desenvolvimento no relatório final.</w:t>
            </w:r>
          </w:p>
        </w:tc>
      </w:tr>
    </w:tbl>
    <w:p>
      <w:pPr>
        <w:pStyle w:val="Heading2"/>
      </w:pPr>
      <w:r>
        <w:t>8.1 Glossário de unidades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Notação</w:t>
            </w:r>
          </w:p>
        </w:tc>
        <w:tc>
          <w:tcPr>
            <w:tcW w:type="dxa" w:w="8352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%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Nível percentual do indicador.</w:t>
            </w:r>
          </w:p>
        </w:tc>
      </w:tr>
      <w:tr>
        <w:tc>
          <w:tcPr>
            <w:tcW w:type="dxa" w:w="158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p.p.</w:t>
            </w:r>
          </w:p>
        </w:tc>
        <w:tc>
          <w:tcPr>
            <w:tcW w:type="dxa" w:w="835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Variação em pontos percentuais.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x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Razão/múltiplo, por exemplo 3,96 vezes.</w:t>
            </w:r>
          </w:p>
        </w:tc>
      </w:tr>
      <w:tr>
        <w:tc>
          <w:tcPr>
            <w:tcW w:type="dxa" w:w="158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R$ mil</w:t>
            </w:r>
          </w:p>
        </w:tc>
        <w:tc>
          <w:tcPr>
            <w:tcW w:type="dxa" w:w="835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Unidade monetária das DFPs utilizadas.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N/D</w:t>
            </w:r>
          </w:p>
        </w:tc>
        <w:tc>
          <w:tcPr>
            <w:tcW w:type="dxa" w:w="835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Dado necessário não disponível.</w:t>
            </w:r>
          </w:p>
        </w:tc>
      </w:tr>
      <w:tr>
        <w:tc>
          <w:tcPr>
            <w:tcW w:type="dxa" w:w="158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N/A</w:t>
            </w:r>
          </w:p>
        </w:tc>
        <w:tc>
          <w:tcPr>
            <w:tcW w:type="dxa" w:w="835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Indicador metodologicamente não aplicável.</w:t>
            </w:r>
          </w:p>
        </w:tc>
      </w:tr>
    </w:tbl>
    <w:p>
      <w:pPr>
        <w:pStyle w:val="Heading1"/>
      </w:pPr>
      <w:r>
        <w:t>9. Regras para tabelas e gráficos</w:t>
      </w:r>
    </w:p>
    <w:p>
      <w:pPr>
        <w:pStyle w:val="ListBullet"/>
        <w:spacing w:after="60"/>
      </w:pPr>
      <w:r>
        <w:rPr>
          <w:sz w:val="19"/>
        </w:rPr>
        <w:t>Nenhum cabeçalho ou coluna pode ser cortado. Cabeçalhos longos devem ser abreviados, quebrados em linha ou receber coluna mais larga.</w:t>
      </w:r>
    </w:p>
    <w:p>
      <w:pPr>
        <w:pStyle w:val="ListBullet"/>
        <w:spacing w:after="60"/>
      </w:pPr>
      <w:r>
        <w:rPr>
          <w:sz w:val="19"/>
        </w:rPr>
        <w:t>Tabelas longas devem repetir cabeçalho e quebrar de forma previsível; linhas não devem se sobrepor ao rodapé.</w:t>
      </w:r>
    </w:p>
    <w:p>
      <w:pPr>
        <w:pStyle w:val="ListBullet"/>
        <w:spacing w:after="60"/>
      </w:pPr>
      <w:r>
        <w:rPr>
          <w:sz w:val="19"/>
        </w:rPr>
        <w:t>O PDF deve formatar cópias dos DataFrames, nunca mutar objetos que alimentam a UI.</w:t>
      </w:r>
    </w:p>
    <w:p>
      <w:pPr>
        <w:pStyle w:val="ListBullet"/>
        <w:spacing w:after="60"/>
      </w:pPr>
      <w:r>
        <w:rPr>
          <w:sz w:val="19"/>
        </w:rPr>
        <w:t>FINANCEIRA: criar apenas componentes gráficos de apresentação faltantes; eles recebem DataFrames oficiais e não calculam métricas.</w:t>
      </w:r>
    </w:p>
    <w:p>
      <w:pPr>
        <w:pStyle w:val="ListBullet"/>
        <w:spacing w:after="60"/>
      </w:pPr>
      <w:r>
        <w:rPr>
          <w:sz w:val="19"/>
        </w:rPr>
        <w:t>Plotly -&gt; imagem estática deve ser decidido/testado em C.5; Kaleido não entra antecipadamente sem teste do ambiente.</w:t>
      </w:r>
    </w:p>
    <w:p>
      <w:pPr>
        <w:pStyle w:val="ListBullet"/>
        <w:spacing w:after="60"/>
      </w:pPr>
      <w:r>
        <w:rPr>
          <w:sz w:val="19"/>
        </w:rPr>
        <w:t>N/D e N/A jamais podem ser convertidos em zero para facilitar plotagem.</w:t>
      </w:r>
    </w:p>
    <w:p>
      <w:pPr>
        <w:pStyle w:val="Heading1"/>
      </w:pPr>
      <w:r>
        <w:t>10. Validação, sentinelas e severidade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Situação</w:t>
            </w:r>
          </w:p>
        </w:tc>
        <w:tc>
          <w:tcPr>
            <w:tcW w:type="dxa" w:w="820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Comportamento no PDF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OK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Relatório completo.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INFO</w:t>
            </w:r>
          </w:p>
        </w:tc>
        <w:tc>
          <w:tcPr>
            <w:tcW w:type="dxa" w:w="820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Relatório completo; informação técnica quando material.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ALERTA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Relatório permitido com ressalvas visíveis.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BLOQUEIO</w:t>
            </w:r>
          </w:p>
        </w:tc>
        <w:tc>
          <w:tcPr>
            <w:tcW w:type="dxa" w:w="820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Valores diagnósticos podem aparecer, mas conclusão financeira fica explicitamente suspensa.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N/D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Exibir N/D; explicar se material.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N/A</w:t>
            </w:r>
          </w:p>
        </w:tc>
        <w:tc>
          <w:tcPr>
            <w:tcW w:type="dxa" w:w="820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Exibir N/A; explicar razão metodológica se material.</w:t>
            </w:r>
          </w:p>
        </w:tc>
      </w:tr>
      <w:tr>
        <w:tc>
          <w:tcPr>
            <w:tcW w:type="dxa" w:w="17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Zero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Preservar zero real; não confundir com missing.</w:t>
            </w:r>
          </w:p>
        </w:tc>
      </w:tr>
      <w:tr>
        <w:tc>
          <w:tcPr>
            <w:tcW w:type="dxa" w:w="17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PL negativo/prejuízo</w:t>
            </w:r>
          </w:p>
        </w:tc>
        <w:tc>
          <w:tcPr>
            <w:tcW w:type="dxa" w:w="820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Preservar sinal e usar linguagem tecnicamente cautelosa.</w:t>
            </w:r>
          </w:p>
        </w:tc>
      </w:tr>
    </w:tbl>
    <w:p>
      <w:pPr>
        <w:pStyle w:val="Heading1"/>
      </w:pPr>
      <w:r>
        <w:t>11. Sequência de implementação C.2-C.8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936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532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Escopo aprovado</w:t>
            </w:r>
          </w:p>
        </w:tc>
        <w:tc>
          <w:tcPr>
            <w:tcW w:type="dxa" w:w="352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C.2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Criar contexto, gerador mínimo, ReportLab, capa/identificação/período/layout/modalidade/resumo.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PDF abre; acentos; bytes; metadados; sem recálculo.</w:t>
            </w:r>
          </w:p>
        </w:tc>
      </w:tr>
      <w:tr>
        <w:tc>
          <w:tcPr>
            <w:tcW w:type="dxa" w:w="93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C.3</w:t>
            </w:r>
          </w:p>
        </w:tc>
        <w:tc>
          <w:tcPr>
            <w:tcW w:type="dxa" w:w="53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BPA/BPP/DRE, paginação, cabeçalhos e tabelas longas.</w:t>
            </w:r>
          </w:p>
        </w:tc>
        <w:tc>
          <w:tcPr>
            <w:tcW w:type="dxa" w:w="35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PDF x UI para valores; nenhuma coluna cortada.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C.4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Tabelas de indicadores específicas por layout.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12 PADRAO; 9 FINANCEIRA; N/D/N/A corretos.</w:t>
            </w:r>
          </w:p>
        </w:tc>
      </w:tr>
      <w:tr>
        <w:tc>
          <w:tcPr>
            <w:tcW w:type="dxa" w:w="93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C.5</w:t>
            </w:r>
          </w:p>
        </w:tc>
        <w:tc>
          <w:tcPr>
            <w:tcW w:type="dxa" w:w="53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Gráficos oficiais; completar visual setorial sem cálculo.</w:t>
            </w:r>
          </w:p>
        </w:tc>
        <w:tc>
          <w:tcPr>
            <w:tcW w:type="dxa" w:w="35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Boa resolução; consistência com resultados.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C.6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Narrativa, metodologia, fontes e validação.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2 exercícios correto; BLOQUEIO/ALERTA corretos.</w:t>
            </w:r>
          </w:p>
        </w:tc>
      </w:tr>
      <w:tr>
        <w:tc>
          <w:tcPr>
            <w:tcW w:type="dxa" w:w="93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C.7</w:t>
            </w:r>
          </w:p>
        </w:tc>
        <w:tc>
          <w:tcPr>
            <w:tcW w:type="dxa" w:w="53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Botão PDF separado do Excel no Streamlit.</w:t>
            </w:r>
          </w:p>
        </w:tc>
        <w:tc>
          <w:tcPr>
            <w:tcW w:type="dxa" w:w="352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Usa objetos já carregados; 1 exercício controlado.</w:t>
            </w:r>
          </w:p>
        </w:tc>
      </w:tr>
      <w:tr>
        <w:tc>
          <w:tcPr>
            <w:tcW w:type="dxa" w:w="93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C.8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Auditoria adversarial, visual, regressão, commit/push/checkpoint.</w:t>
            </w:r>
          </w:p>
        </w:tc>
        <w:tc>
          <w:tcPr>
            <w:tcW w:type="dxa" w:w="35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6"/>
              </w:rPr>
              <w:t>VALE, ITAÚ, 1/2/3 anos, zeros, sinais, N/D/N/A.</w:t>
            </w:r>
          </w:p>
        </w:tc>
      </w:tr>
    </w:tbl>
    <w:p>
      <w:pPr>
        <w:pStyle w:val="Heading1"/>
      </w:pPr>
      <w:r>
        <w:t>12. Critérios de aceite da Fase C</w:t>
      </w:r>
    </w:p>
    <w:p>
      <w:pPr>
        <w:pStyle w:val="ListBullet"/>
        <w:spacing w:after="60"/>
      </w:pPr>
      <w:r>
        <w:rPr>
          <w:sz w:val="19"/>
        </w:rPr>
        <w:t>PDF abre sem erro, sem clipping, sobreposição ou glyph quebrado.</w:t>
      </w:r>
    </w:p>
    <w:p>
      <w:pPr>
        <w:pStyle w:val="ListBullet"/>
        <w:spacing w:after="60"/>
      </w:pPr>
      <w:r>
        <w:rPr>
          <w:sz w:val="19"/>
        </w:rPr>
        <w:t>Valores coincidem com UI/Excel para empresa e anos equivalentes.</w:t>
      </w:r>
    </w:p>
    <w:p>
      <w:pPr>
        <w:pStyle w:val="ListBullet"/>
        <w:spacing w:after="60"/>
      </w:pPr>
      <w:r>
        <w:rPr>
          <w:sz w:val="19"/>
        </w:rPr>
        <w:t>PADRAO e FINANCEIRA mantêm metodologias distintas.</w:t>
      </w:r>
    </w:p>
    <w:p>
      <w:pPr>
        <w:pStyle w:val="ListBullet"/>
        <w:spacing w:after="60"/>
      </w:pPr>
      <w:r>
        <w:rPr>
          <w:sz w:val="19"/>
        </w:rPr>
        <w:t>PDF não recalcula indicadores e não acessa DuckDB para reconstruir resultados.</w:t>
      </w:r>
    </w:p>
    <w:p>
      <w:pPr>
        <w:pStyle w:val="ListBullet"/>
        <w:spacing w:after="60"/>
      </w:pPr>
      <w:r>
        <w:rPr>
          <w:sz w:val="19"/>
        </w:rPr>
        <w:t>Relatório de 2 exercícios não contém linguagem de três exercícios.</w:t>
      </w:r>
    </w:p>
    <w:p>
      <w:pPr>
        <w:pStyle w:val="ListBullet"/>
        <w:spacing w:after="60"/>
      </w:pPr>
      <w:r>
        <w:rPr>
          <w:sz w:val="19"/>
        </w:rPr>
        <w:t>Caso de 1 exercício não gera traceback e não produz narrativa comparativa.</w:t>
      </w:r>
    </w:p>
    <w:p>
      <w:pPr>
        <w:pStyle w:val="ListBullet"/>
        <w:spacing w:after="60"/>
      </w:pPr>
      <w:r>
        <w:rPr>
          <w:sz w:val="19"/>
        </w:rPr>
        <w:t>Exportação PDF não altera ou quebra exportação Excel.</w:t>
      </w:r>
    </w:p>
    <w:p>
      <w:pPr>
        <w:pStyle w:val="ListBullet"/>
        <w:spacing w:after="60"/>
      </w:pPr>
      <w:r>
        <w:rPr>
          <w:sz w:val="19"/>
        </w:rPr>
        <w:t>Nenhuma seção interna de roadmap aparece no documento final.</w:t>
      </w:r>
    </w:p>
    <w:p>
      <w:pPr>
        <w:pStyle w:val="ListBullet"/>
        <w:spacing w:after="60"/>
      </w:pPr>
      <w:r>
        <w:rPr>
          <w:sz w:val="19"/>
        </w:rPr>
        <w:t>Narrativa acrescenta interpretação; evita repetir tabelas em prosa.</w:t>
      </w:r>
    </w:p>
    <w:p>
      <w:pPr>
        <w:pStyle w:val="ListBullet"/>
        <w:spacing w:after="60"/>
      </w:pPr>
      <w:r>
        <w:rPr>
          <w:sz w:val="19"/>
        </w:rPr>
        <w:t>Auditoria existente permanece verde e não é afrouxada para o PDF “passar”.</w:t>
      </w:r>
    </w:p>
    <w:p>
      <w:pPr>
        <w:pStyle w:val="Heading1"/>
      </w:pPr>
      <w:r>
        <w:t>13. Riscos técnicos e metodológicos registrados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type="dxa" w:w="7344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FINANCEIRA com 2 exercícios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CRESC_* pode produzir N/D de trajetória. Corrigir o motor oficial se o texto ficar inadequado; nunca mascarar no PDF.</w:t>
            </w:r>
          </w:p>
        </w:tc>
      </w:tr>
      <w:tr>
        <w:tc>
          <w:tcPr>
            <w:tcW w:type="dxa" w:w="259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Renderização Plotly</w:t>
            </w:r>
          </w:p>
        </w:tc>
        <w:tc>
          <w:tcPr>
            <w:tcW w:type="dxa" w:w="73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Conversão estática ainda não está definida no ambiente. Resolver em C.5.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Gráficos setoriais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FINANCEIRA possui cards setoriais, mas gráficos específicos ainda são incompletos.</w:t>
            </w:r>
          </w:p>
        </w:tc>
      </w:tr>
      <w:tr>
        <w:tc>
          <w:tcPr>
            <w:tcW w:type="dxa" w:w="259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Tabelas longas</w:t>
            </w:r>
          </w:p>
        </w:tc>
        <w:tc>
          <w:tcPr>
            <w:tcW w:type="dxa" w:w="73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Contas CVM reais podem gerar várias páginas. Repetir cabeçalhos e testar overflow.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Unicode/fontes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Acentos e símbolos devem ser testados; preferir texto simples onde símbolos não forem necessários.</w:t>
            </w:r>
          </w:p>
        </w:tc>
      </w:tr>
      <w:tr>
        <w:tc>
          <w:tcPr>
            <w:tcW w:type="dxa" w:w="259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Layout misto</w:t>
            </w:r>
          </w:p>
        </w:tc>
        <w:tc>
          <w:tcPr>
            <w:tcW w:type="dxa" w:w="7344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Não combinar silenciosamente 12 e 9 indicadores em períodos de layouts distintos.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Futuro Mercado/Proventos</w:t>
            </w:r>
          </w:p>
        </w:tc>
        <w:tc>
          <w:tcPr>
            <w:tcW w:type="dxa" w:w="73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Manter EXTENSOES e identidade de companhia separada de identidade do ativo; não implementar agora.</w:t>
            </w:r>
          </w:p>
        </w:tc>
      </w:tr>
    </w:tbl>
    <w:p>
      <w:pPr>
        <w:pStyle w:val="Heading1"/>
      </w:pPr>
      <w:r>
        <w:t>14. Regra de uso com Codex no VS Code</w:t>
      </w:r>
    </w:p>
    <w:p>
      <w:r>
        <w:t>Os prompts devem ser curtos, localizados e apontar para este handoff e para o golden sample. Não repetir toda a arquitetura a cada subetapa.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6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65D"/>
                <w:sz w:val="20"/>
              </w:rPr>
              <w:t>Modelo de prompt curto</w:t>
              <w:br/>
            </w:r>
            <w:r>
              <w:rPr>
                <w:color w:val="1F2937"/>
                <w:sz w:val="18"/>
              </w:rPr>
              <w:t>Execute somente a C.2 conforme HANDOFF_FASE_C_PDF_FINANCEIRO_PROFISSIONAL_2026-09-18.docx. Use MODELO_VISUAL_PDF_FINANCEIRO_VALE_V2_2026-09-18.pdf como golden sample visual. Preserve PADRAO + FINANCEIRA e não implemente etapas posteriores. Não faça commit.</w:t>
            </w:r>
          </w:p>
        </w:tc>
      </w:tr>
    </w:tbl>
    <w:p>
      <w:pPr>
        <w:spacing w:after="0"/>
      </w:pPr>
    </w:p>
    <w:p>
      <w:r>
        <w:t>Antes de cada commit: py_compile quando aplicável, testes específicos, git diff --check e revisão do diff. Commit/push somente após validação funcional. Criar checkpoint ao final da C.8.</w:t>
      </w:r>
    </w:p>
    <w:p>
      <w:pPr>
        <w:pStyle w:val="Heading1"/>
      </w:pPr>
      <w:r>
        <w:t>15. Relação entre os dois arquivos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032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456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Papel</w:t>
            </w:r>
          </w:p>
        </w:tc>
        <w:tc>
          <w:tcPr>
            <w:tcW w:type="dxa" w:w="2448"/>
            <w:shd w:fill="2440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Autoridade</w:t>
            </w:r>
          </w:p>
        </w:tc>
      </w:tr>
      <w:tr>
        <w:tc>
          <w:tcPr>
            <w:tcW w:type="dxa" w:w="40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HANDOFF_FASE_C_PDF_FINANCEIRO_PROFISSIONAL_2026-09-18.docx</w:t>
            </w:r>
          </w:p>
        </w:tc>
        <w:tc>
          <w:tcPr>
            <w:tcW w:type="dxa" w:w="34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Especificação funcional/metodológica/técnica.</w:t>
            </w:r>
          </w:p>
        </w:tc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Fonte principal para regras e decisões.</w:t>
            </w:r>
          </w:p>
        </w:tc>
      </w:tr>
      <w:tr>
        <w:tc>
          <w:tcPr>
            <w:tcW w:type="dxa" w:w="4032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MODELO_VISUAL_PDF_FINANCEIRO_VALE_V2_2026-09-18.pdf</w:t>
            </w:r>
          </w:p>
        </w:tc>
        <w:tc>
          <w:tcPr>
            <w:tcW w:type="dxa" w:w="3456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Golden sample visual do modo Executivo/Analista PADRAO.</w:t>
            </w:r>
          </w:p>
        </w:tc>
        <w:tc>
          <w:tcPr>
            <w:tcW w:type="dxa" w:w="2448"/>
            <w:shd w:fill="F4F7FA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F2937"/>
                <w:sz w:val="18"/>
              </w:rPr>
              <w:t>Referência de aparência, hierarquia e densidade.</w:t>
            </w:r>
          </w:p>
        </w:tc>
      </w:tr>
    </w:tbl>
    <w:p>
      <w:pPr>
        <w:spacing w:before="320"/>
      </w:pPr>
      <w:r>
        <w:rPr>
          <w:b/>
          <w:color w:val="17365D"/>
        </w:rPr>
        <w:t>Fim do handoff - Fase C pronta para iniciar C.2 após aprovação explícita.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632"/>
      <w:gridCol w:w="2160"/>
    </w:tblGrid>
    <w:tr>
      <w:tc>
        <w:tcPr>
          <w:tcW w:type="dxa" w:w="4896"/>
        </w:tcPr>
        <w:p>
          <w:pPr>
            <w:jc w:val="left"/>
          </w:pPr>
          <w:r>
            <w:rPr>
              <w:color w:val="667085"/>
              <w:sz w:val="15"/>
            </w:rPr>
            <w:t>Handoff normativo - 18/09/2026</w:t>
          </w:r>
        </w:p>
      </w:tc>
      <w:tc>
        <w:tcPr>
          <w:tcW w:type="dxa" w:w="4896"/>
        </w:tcPr>
        <w:p>
          <w:pPr>
            <w:jc w:val="right"/>
          </w:pPr>
          <w:r>
            <w:rPr>
              <w:color w:val="667085"/>
              <w:sz w:val="15"/>
            </w:rPr>
            <w:t xml:space="preserve">Página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5"/>
      </w:rPr>
      <w:t>SISTEMA CVM  |  FASE C - PDF FINANCEIRO PROFISSIONAL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406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4406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