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Investigación sobre la Elaboración de Esquemas de Direccionamiento de Subredes IPv4/IPv6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z8c2ct6rl44x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1. Introducción al Esquema de Direccionamiento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f1necatd6leq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El direccionamiento de subredes es una técnica utilizada para organizar y optimizar redes dividiendo un espacio de direcciones en múltiples subredes. Esto mejora la administración, seguridad y eficiencia del uso de direcciones IP.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thb40vwdkin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w3j5lsub4g1y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2. Direccionamiento en IPv4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  <w:highlight w:val="white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IPv4 utiliza direcciones de 32 bits, representadas en formato decimal con cuatro octetos separados por puntos (ejemplo: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highlight w:val="white"/>
          <w:rtl w:val="0"/>
        </w:rPr>
        <w:t xml:space="preserve">192.168.1.1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2f6zycnh0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2.1) Clases de Direcciones IPv4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Históricamente, IPv4 se dividió en clases: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Clase A (1.0.0.0 – 126.255.255.255) → Redes muy grandes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Clase B (128.0.0.0 – 191.255.255.255) → Redes medianas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Clase C (192.0.0.0 – 223.255.255.255) → Redes pequeñas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Clase D (224.0.0.0 – 239.255.255.255) → Multidifusión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Clase E (240.0.0.0 – 255.255.255.255) → Reservado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xloldlq68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2.2) Subnetting en IPv4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El subnetting permite dividir una red en subredes más pequeñas mediante la máscara de subred. Ejemplo de máscaras de subred: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/24 → 255.255.255.0 (256 direcciones, 254 hosts utilizables)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/26 → 255.255.255.192 (64 direcciones, 62 hosts utilizables)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/30 → 255.255.255.252 (4 direcciones, 2 hosts utilizables)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Para calcular subredes se usa la fórmula: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Nuˊmerodesubredes=2sNúmero de subredes = 2^sNuˊmerodesubredes=2s Nuˊmerodehosts=2h−2Número de hosts = 2^h - 2Nuˊmerodehosts=2h−2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5bkskmj6hdor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Donde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es el número de bits prestados y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h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los bits restantes para hosts.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jh7nerto7b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w9nq4aelqk1w" w:id="9"/>
      <w:bookmarkEnd w:id="9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3. Direccionamiento en IPv6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240" w:before="240" w:lineRule="auto"/>
        <w:rPr>
          <w:color w:val="000000"/>
        </w:rPr>
      </w:pPr>
      <w:bookmarkStart w:colFirst="0" w:colLast="0" w:name="_c71k41xrmx" w:id="10"/>
      <w:bookmarkEnd w:id="10"/>
      <w:r w:rsidDel="00000000" w:rsidR="00000000" w:rsidRPr="00000000">
        <w:rPr>
          <w:color w:val="000000"/>
          <w:rtl w:val="0"/>
        </w:rPr>
        <w:t xml:space="preserve">IPv6 usa direcciones de 128 bits expresadas en hexadecimal, separadas por dos puntos (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), como: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991350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1rn1fn9j2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3.1) Prefijos y Subnetting en IPv6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240" w:before="240" w:lineRule="auto"/>
        <w:rPr>
          <w:color w:val="000000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rtl w:val="0"/>
        </w:rPr>
        <w:t xml:space="preserve">IPv6 no usa clases, sino prefijos con notación CIDR (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/64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/48</w:t>
      </w:r>
      <w:r w:rsidDel="00000000" w:rsidR="00000000" w:rsidRPr="00000000">
        <w:rPr>
          <w:color w:val="000000"/>
          <w:rtl w:val="0"/>
        </w:rPr>
        <w:t xml:space="preserve">, etc.). Ejemplo de subredes: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</w:rPr>
      </w:pPr>
      <w:bookmarkStart w:colFirst="0" w:colLast="0" w:name="_vqjsj5u98yey" w:id="4"/>
      <w:bookmarkEnd w:id="4"/>
      <w:r w:rsidDel="00000000" w:rsidR="00000000" w:rsidRPr="00000000">
        <w:rPr>
          <w:b w:val="1"/>
          <w:color w:val="000000"/>
          <w:rtl w:val="0"/>
        </w:rPr>
        <w:t xml:space="preserve">/64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 → Tamaño estándar para una subred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vqjsj5u98yey" w:id="4"/>
      <w:bookmarkEnd w:id="4"/>
      <w:r w:rsidDel="00000000" w:rsidR="00000000" w:rsidRPr="00000000">
        <w:rPr>
          <w:b w:val="1"/>
          <w:color w:val="000000"/>
          <w:rtl w:val="0"/>
        </w:rPr>
        <w:t xml:space="preserve">/56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 → Para asignaciones a organizaciones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</w:rPr>
      </w:pPr>
      <w:bookmarkStart w:colFirst="0" w:colLast="0" w:name="_vqjsj5u98yey" w:id="4"/>
      <w:bookmarkEnd w:id="4"/>
      <w:r w:rsidDel="00000000" w:rsidR="00000000" w:rsidRPr="00000000">
        <w:rPr>
          <w:b w:val="1"/>
          <w:color w:val="000000"/>
          <w:rtl w:val="0"/>
        </w:rPr>
        <w:t xml:space="preserve">/48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 → Para grandes organizaciones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1znavcxr3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3.2) Ventajas de IPv6 en Subnetting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rtl w:val="0"/>
        </w:rPr>
        <w:t xml:space="preserve">Espacio de direcciones más grande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rtl w:val="0"/>
        </w:rPr>
        <w:t xml:space="preserve">Menos necesidad de NAT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</w:rPr>
      </w:pPr>
      <w:bookmarkStart w:colFirst="0" w:colLast="0" w:name="_tuae59cb2h5x" w:id="13"/>
      <w:bookmarkEnd w:id="13"/>
      <w:r w:rsidDel="00000000" w:rsidR="00000000" w:rsidRPr="00000000">
        <w:rPr>
          <w:color w:val="000000"/>
          <w:rtl w:val="0"/>
        </w:rPr>
        <w:t xml:space="preserve">Autoconfiguración de direcciones (SLAAC)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zdoqqf1xc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3.3) Estrategias para un Esquema de Direccionamiento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Definir necesidades de red (cantidad de dispositivos, VLANs, crecimiento futuro).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Elegir máscara o prefijo adecuado según la cantidad de subredes y hosts requeridos.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Usar direcciones privadas para redes internas (</w:t>
      </w:r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192.168.x.x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fd00::/8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en IPv6).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vqjsj5u98yey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Asignar bloques de direcciones lógicamente para evitar desperdicio.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kpvzasuyt49n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Documentar el esquema de direccionamiento para mantenimiento y escalabilidad.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awm3af9bow3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ebc93ehoi43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u206ugp5v861" w:id="18"/>
      <w:bookmarkEnd w:id="1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4. Ejemplo de Esquema de Direccionamiento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z8y6bbfvd1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IPv4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840"/>
        <w:gridCol w:w="3495"/>
        <w:gridCol w:w="3495"/>
        <w:tblGridChange w:id="0">
          <w:tblGrid>
            <w:gridCol w:w="1890"/>
            <w:gridCol w:w="3840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Rango de 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Mascara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Hosts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192.168.1.0 - 192.168.1.63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/26 (255.255.255.192)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192.168.1.64 - 192.168.1.127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z7j49rmv9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13z4b42037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IPv6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Prefijo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2001:db8:1::/64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LAN interna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2001:db8:2::/64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Servidores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n1znoz53pvb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Conclusión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Elaborar un esquema de direccionamiento de subredes es fundamental para garantizar un uso eficiente y estructurado de los recursos de red. Un buen diseño no solo optimiza el rendimiento y la seguridad, sino que también facilita la escalabilidad y el mantenimiento a largo plazo. Mientras que IPv4 sigue siendo ampliamente utilizado, la transición a IPv6 es inevitable debido a su capacidad para soportar un número prácticamente ilimitado de dispositivos. Adoptar buenas prácticas en el direccionamiento IP permite a las organizaciones adaptarse a las crecientes demandas tecnológicas y prepararse para futuras innovaciones en conectividad.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