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Aptos" w:hAnsi="Aptos"/>
          <w:b/>
          <w:i w:val="0"/>
          <w:color w:val="C79318"/>
          <w:sz w:val="20"/>
        </w:rPr>
        <w:t>SEGURIDAD VIAL</w:t>
      </w:r>
    </w:p>
    <w:p>
      <w:pPr>
        <w:pStyle w:val="Title"/>
        <w:spacing w:after="40"/>
      </w:pPr>
      <w:r>
        <w:rPr>
          <w:rFonts w:ascii="Aptos" w:hAnsi="Aptos"/>
          <w:b/>
          <w:i w:val="0"/>
          <w:color w:val="000000"/>
          <w:sz w:val="52"/>
        </w:rPr>
        <w:t>Control y gestión de horas de descanso de conductores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8"/>
        </w:rPr>
        <w:t>Instructivo operativo y registros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3"/>
      </w:tblGrid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Código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IT-SV-01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Versión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A · Borrador para aprobación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Responsable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Tráfico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Participan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Seguridad e Higiene, Recursos Humanos, Seguimiento y conductores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Vigencia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Desde su aprobación hasta la próxima revisión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Revisión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Anual y ante cambios normativos, contractuales u operativos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1. Objetivo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Establecer la metodología para planificar, verificar, registrar y controlar las horas de descanso de los conductores de camiones de DADA, evitando la asignación de servicios incompatibles con un descanso seguro y generando evidencia trazable de cada control.</w:t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2. Alcance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Aplica a todos los conductores propios y, cuando corresponda contractualmente, a conductores de terceros afectados a operaciones de DADA, tanto en servicios locales como de larga distancia. Comprende la planificación del viaje, la liberación del conductor, el seguimiento durante el servicio y el control posterior.</w:t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3. Principios obligatorios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Ningún objetivo operativo, compromiso de entrega o contingencia comercial justifica asignar o mantener en conducción a una persona sin descanso suficiente o con signos de fatiga.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El descanso debe ser real, continuo y libre de tareas, esperas operativas, custodia de la carga u otras obligaciones que mantengan al conductor a disposición.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La declaración del conductor complementa, pero no reemplaza, la verificación de registros horarios, GPS, hoja de ruta, fichadas u otras evidencias disponibles.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Toda duda sobre la aptitud para conducir se resolverá priorizando la seguridad: se suspenderá la salida o se dispondrá una detención segura.</w:t>
      </w:r>
    </w:p>
    <w:p>
      <w:r>
        <w:br w:type="page"/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4.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Dirección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Aprobar el instructivo, asignar recursos y revisar los desvíos críticos.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Tráfico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Planificar servicios, verificar descansos antes de asignar viajes, bloquear salidas no conformes y conservar los registros.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Seguimiento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Monitorear horarios, detenciones y alertas durante el viaje; comunicar inmediatamente señales de fatiga o desvíos.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Seguridad e Higiene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Definir criterios preventivos, capacitar, analizar eventos y verificar la eficacia de las acciones.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Recursos Humanos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Mantener información laboral aplicable y acompañar el tratamiento de reincidencias o incompatibilidades de jornada.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Conductor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Informar horarios y descansos de manera veraz, completar la declaración previa y detenerse cuando no se encuentre en condiciones seguras.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5. Criterios para determinar el descanso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DADA establece como requisito obligatorio un descanso mínimo de doce horas continuas entre la finalización efectiva de una jornada y el comienzo de la siguiente. Este criterio se aplica a todos los conductores y operaciones alcanzados por el presente instructivo, sin distinción entre servicios locales y de larga distancia.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No se autorizará ninguna excepción que reduzca las doce horas de descanso. Cuando una norma, convenio, contrato o requisito del cliente establezca un descanso mayor, se aplicará el criterio más exigente. Para conductores de larga distancia alcanzados por el CCT 40/89 se controlará, además, el descanso compensatorio que corresponda.</w:t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6. Condiciones para considerar válido el descanso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El período se computa desde la finalización efectiva de todas las tareas hasta el inicio efectivo de la siguiente jornada.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No se consideran descanso los tiempos de carga, descarga, documentación, mantenimiento, limpieza, custodia, espera con obligación de disponibilidad o traslado ordenado por la empresa.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El lugar debe permitir sueño reparador y contar con condiciones razonables de seguridad, higiene, ventilación, temperatura, oscuridad y control de ruido.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Cuando exista pernocte fuera de la residencia habitual, Tráfico deberá identificar previamente el lugar autorizado y registrar cualquier imposibilidad o condición deficiente.</w:t>
      </w:r>
    </w:p>
    <w:p>
      <w:r>
        <w:br w:type="page"/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7. Procedimiento operativo</w:t>
      </w:r>
    </w:p>
    <w:p>
      <w:pPr>
        <w:pStyle w:val="Heading2"/>
        <w:keepNext/>
        <w:keepLines/>
        <w:spacing w:before="140" w:after="100"/>
      </w:pPr>
      <w:r>
        <w:rPr>
          <w:rFonts w:ascii="Aptos" w:hAnsi="Aptos"/>
          <w:b/>
          <w:i w:val="0"/>
          <w:color w:val="000000"/>
          <w:sz w:val="24"/>
        </w:rPr>
        <w:t>7.1 Planificación del servicio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Tráfico registra para cada conductor la finalización real de la última jornada y consulta el historial de servicios y descansos antes de asignar un nuevo viaje.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Se calcula el descanso disponible entre el fin real de la jornada anterior y el horario previsto de presentación. El resultado debe ser igual o superior a doce horas continuas y debe considerar todas las tareas, no solamente las horas de conducción.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La asignación se ajusta cuando el descanso proyectado resulte inferior a doce horas. No se admite planificar una salida condicionada a completar el descanso durante tareas o esperas.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Para larga distancia, Tráfico controla además los días acumulados fuera de la residencia habitual y programa el descanso compensatorio correspondiente.</w:t>
      </w:r>
    </w:p>
    <w:p>
      <w:pPr>
        <w:pStyle w:val="Heading2"/>
        <w:keepNext/>
        <w:keepLines/>
        <w:spacing w:before="140" w:after="100"/>
      </w:pPr>
      <w:r>
        <w:rPr>
          <w:rFonts w:ascii="Aptos" w:hAnsi="Aptos"/>
          <w:b/>
          <w:i w:val="0"/>
          <w:color w:val="000000"/>
          <w:sz w:val="24"/>
        </w:rPr>
        <w:t>7.2 Verificación antes de la salida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Antes de entregar la unidad o confirmar la salida, el responsable verifica identidad, fecha y hora de la última finalización, hora de presentación y un descanso calculado de al menos doce horas continuas.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El conductor completa una declaración breve de aptitud, indicando si descansó adecuadamente y si presenta somnolencia, fatiga, enfermedad, medicación que afecte la conducción u otra condición relevante.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El responsable contrasta la declaración con registros objetivos disponibles. Toda diferencia debe aclararse antes de liberar el servicio.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La salida se autoriza únicamente cuando el resultado sea conforme y quede identificado el verificador. La firma o validación digital no transfiere al conductor la responsabilidad de planificación de la empresa.</w:t>
      </w:r>
    </w:p>
    <w:p>
      <w:pPr>
        <w:pStyle w:val="Heading2"/>
        <w:keepNext/>
        <w:keepLines/>
        <w:spacing w:before="140" w:after="100"/>
      </w:pPr>
      <w:r>
        <w:rPr>
          <w:rFonts w:ascii="Aptos" w:hAnsi="Aptos"/>
          <w:b/>
          <w:i w:val="0"/>
          <w:color w:val="000000"/>
          <w:sz w:val="24"/>
        </w:rPr>
        <w:t>7.3 Seguimiento durante el viaje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Seguimiento controla horarios, paradas, cambios de conductor y alertas disponibles mediante GPS, comunicaciones y registros operativos.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Ante una manifestación de fatiga, somnolencia, pérdida de atención o conducción irregular, se indica la detención inmediata en un lugar seguro y se informa a Tráfico.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Tráfico redefine el servicio mediante descanso, reemplazo de conductor, reprogramación o asistencia. El viaje solo continúa cuando exista una condición segura verificable.</w:t>
      </w:r>
    </w:p>
    <w:p>
      <w:r>
        <w:br w:type="page"/>
      </w:r>
    </w:p>
    <w:p>
      <w:pPr>
        <w:pStyle w:val="Heading2"/>
        <w:keepNext/>
        <w:keepLines/>
        <w:spacing w:before="140" w:after="100"/>
      </w:pPr>
      <w:r>
        <w:rPr>
          <w:rFonts w:ascii="Aptos" w:hAnsi="Aptos"/>
          <w:b/>
          <w:i w:val="0"/>
          <w:color w:val="000000"/>
          <w:sz w:val="24"/>
        </w:rPr>
        <w:t>7.4 Cierre del viaje y actualización del registro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Al finalizar, se registra la hora real de cierre de todas las tareas, incluyendo entrega de documentación, inspección de la unidad y novedades.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El horario de cierre alimenta la próxima verificación de descanso. No debe reemplazarse por horarios programados cuando existan datos reales.</w:t>
      </w:r>
    </w:p>
    <w:p>
      <w:pPr>
        <w:pStyle w:val="ListNumber"/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Los cambios de turno, demoras, interrupciones y períodos de descanso fuera de base se documentan con su evidencia disponible.</w:t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8. Decisión frente a desvíos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960"/>
        <w:gridCol w:w="2736"/>
      </w:tblGrid>
      <w:tr>
        <w:trPr>
          <w:tblHeader w:val="true"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Situación detectada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Decisión inmediata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Descanso inferior a doce horas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 liberar la salida. Reprogramar o asignar reemplazo.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Control previo y registro de desvío.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Fatiga o somnolencia declarada u observada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Detener o suspender la conducción y evaluar recuperación segura.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Declaración, novedad y acción adoptada.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Datos horarios incompletos o contradictorios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 liberar hasta verificar la información mediante evidencia confiable.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Detalle de la diferencia y fuente utilizada.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Lugar de descanso inadecuado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Gestionar una alternativa apta antes de computar el período como descanso válido.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Novedad, ubicación y solución.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Reincidencia o desvío sistémico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Analizar causa, planificación y carga de trabajo; abrir acción correctiva.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Informe y seguimiento de acción.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9. Escalamiento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Los desvíos que puedan afectar una salida se comunican de inmediato al responsable de Tráfico.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Los eventos con conducción bajo fatiga, reiteración, falsificación de registros o presión operativa para incumplir el descanso se elevan a Dirección y Seguridad e Higiene.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Cuando corresponda, se inicia una investigación y una acción correctiva con responsable, plazo, causa y verificación de eficacia.</w:t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10. Registros y conservación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Registro de control previo de descanso y aptitud para conducir.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Planificación y cierre real de jornadas, hojas de ruta, GPS, fichadas y cambios de conductor.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Declaraciones, alertas de fatiga, detenciones preventivas, desvíos y acciones correctivas.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Consolidado mensual por conductor y evidencia de revisión de Tráfico.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Los registros se conservarán durante el plazo definido por la matriz legal, contractual y documental de DADA. El acceso deberá limitarse a personas autorizadas y respetar la confidencialidad de la información de salud.</w:t>
      </w:r>
    </w:p>
    <w:p>
      <w:r>
        <w:br w:type="page"/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11. Indicadores y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4896"/>
        <w:gridCol w:w="1440"/>
      </w:tblGrid>
      <w:tr>
        <w:trPr>
          <w:tblHeader w:val="true"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Cálculo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Cumplimiento previo a la salida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Controles conformes ÷ controles realizados × 100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Mensual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Salidas bloqueadas preventivamente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Cantidad de asignaciones suspendidas por descanso o fatiga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Mensual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Desvíos por descanso insuficiente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Cantidad y porcentaje sobre controles realizados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Mensual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Acciones cerradas en término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Acciones cerradas dentro del plazo ÷ acciones totales × 100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Mensual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Reincidencia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Conductores u operaciones con dos o más desvíos en el período definido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Mensual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Tráfico revisará los indicadores mensualmente con Seguridad e Higiene. Los resultados, tendencias y acciones pendientes se presentarán a Dirección con la frecuencia definida por DADA.</w:t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12. Capacitación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El personal de Tráfico, Seguimiento y los conductores deberán recibir capacitación inicial y ante cada modificación relevante. La formación incluirá criterios de descanso, reconocimiento de fatiga, autoridad para detener una operación y uso de los registros.</w:t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13. Referencias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Ley de Contrato de Trabajo 20.744, artículos 197, 198 y concordantes, texto vigente.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Ley 11.544 de Jornada de Trabajo y reglamentación aplicable.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Convenio Colectivo de Trabajo 40/89, especialmente los apartados aplicables a conducción local y de larga distancia.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Matriz legal y requisitos contractuales vigentes de DADA y de cada cliente.</w:t>
      </w:r>
    </w:p>
    <w:p>
      <w:pPr>
        <w:pStyle w:val="ListBullet"/>
        <w:spacing w:after="60" w:line="252" w:lineRule="auto"/>
      </w:pPr>
      <w:r>
        <w:rPr>
          <w:rFonts w:ascii="Aptos" w:hAnsi="Aptos"/>
          <w:b w:val="0"/>
          <w:i w:val="0"/>
          <w:color w:val="000000"/>
          <w:sz w:val="22"/>
        </w:rPr>
        <w:t>Documentos DADA PR-SV-09 Jornada de trabajo y PR-SV-24 Verificación del descanso.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2"/>
        </w:rPr>
        <w:t>La revisión normativa deberá verificar si existen requisitos superiores a las doce horas definidas por DADA. En ningún caso podrá utilizarse para autorizar un descanso menor.</w:t>
      </w:r>
    </w:p>
    <w:p>
      <w:r>
        <w:br w:type="page"/>
      </w: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ANEXO A  Registro diario de control de descanso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20"/>
      </w:tblGrid>
      <w:tr>
        <w:trPr>
          <w:tblHeader w:val="true"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Dato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Fecha del control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 / ____ / ______    Hora: 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Conductor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DNI o legajo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Unidad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Servicio, ruta o destino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Fin real de la jornada anterior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 / ____ / ______    Hora: 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Inicio previsto de la nueva jornada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 / ____ / ______    Hora: 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Descanso continuo calculado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________ horas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Descanso mínimo DADA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12 horas continuas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Lugar de descanso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Declaración y verificación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720"/>
        <w:gridCol w:w="720"/>
        <w:gridCol w:w="3024"/>
      </w:tblGrid>
      <w:tr>
        <w:trPr>
          <w:tblHeader w:val="true"/>
        </w:trPr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Observaciones</w:t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¿El descanso fue de al menos 12 horas continuas?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¿El conductor declara haber descansado adecuadamente?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¿Presenta somnolencia, fatiga o dificultad de concentración?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¿Existen datos objetivos consistentes con lo declarado?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¿El lugar permitió un descanso adecuado?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560"/>
      </w:tblGrid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Resultado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☐ Conforme     ☐ No conforme     ☐ Requiere verificación adicional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Decisión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☐ Liberar servicio     ☐ Reprogramar     ☐ Reemplazar conductor     ☐ Detener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Acción u observación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Verificó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Nombre: ____________________  Firma: ______________  Fecha y hora: __________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Conductor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Nombre: ____________________  Firma: ______________  Fecha y hora: __________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ANEXO B  Consolidado mensual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800"/>
        <w:gridCol w:w="1296"/>
        <w:gridCol w:w="1296"/>
        <w:gridCol w:w="1440"/>
        <w:gridCol w:w="1296"/>
        <w:gridCol w:w="1728"/>
      </w:tblGrid>
      <w:tr>
        <w:trPr>
          <w:tblHeader w:val="true"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Conductor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Fin anterior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Nuevo inicio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Horas de descanso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__/__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ANEXO C  Registro de desvíos y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448"/>
        <w:gridCol w:w="2520"/>
        <w:gridCol w:w="1584"/>
        <w:gridCol w:w="1080"/>
        <w:gridCol w:w="1440"/>
      </w:tblGrid>
      <w:tr>
        <w:trPr>
          <w:tblHeader w:val="true"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N.º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Desvío detectado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Acción inmediata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Plazo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00" w:after="100"/>
      </w:pPr>
      <w:r>
        <w:rPr>
          <w:rFonts w:ascii="Aptos" w:hAnsi="Aptos"/>
          <w:b/>
          <w:i w:val="0"/>
          <w:color w:val="000000"/>
          <w:sz w:val="30"/>
        </w:rPr>
        <w:t>Aprobación y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Elaboró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Revisó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F75B5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Aprobó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Nombre, firma y fecha</w:t>
              <w:br/>
              <w:br/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Nombre, firma y fecha</w:t>
              <w:br/>
              <w:br/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Nombre, firma y fecha</w:t>
              <w:br/>
              <w:br/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386"/>
        <w:sz w:val="18"/>
      </w:rPr>
      <w:t>DADA 2026  |  IT-SV-01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386"/>
        <w:sz w:val="18"/>
      </w:rPr>
      <w:t>DADA 2026  |  IT-SV-01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y gestión de horas de descanso de conductores</dc:title>
  <dc:subject>Instructivo operativo DADA</dc:subject>
  <dc:creator>DADA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