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del Sistema de Gestión de la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448"/>
            <w:vAlign w:val="center"/>
          </w:tcPr>
          <w:p>
            <w:r>
              <w:t>MC-01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Revisión</w:t>
            </w:r>
          </w:p>
        </w:tc>
        <w:tc>
          <w:tcPr>
            <w:tcW w:type="dxa" w:w="2448"/>
            <w:vAlign w:val="center"/>
          </w:tcPr>
          <w:p>
            <w:r>
              <w:t>A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48"/>
            <w:vAlign w:val="center"/>
          </w:tcPr>
          <w:p>
            <w:r>
              <w:t>Pendiente de aprobación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48"/>
            <w:vAlign w:val="center"/>
          </w:tcPr>
          <w:p>
            <w:r>
              <w:t>19/08/2026</w:t>
            </w:r>
          </w:p>
        </w:tc>
      </w:tr>
    </w:tbl>
    <w:p>
      <w:pPr>
        <w:pStyle w:val="Heading1"/>
      </w:pPr>
      <w:r>
        <w:t>1. Objeto y alcance</w:t>
      </w:r>
    </w:p>
    <w:p>
      <w:r>
        <w:t>Establecer los criterios obligatorios de KIMI para manual del sistema de gestión de la calidad, aplicables a los procesos, sedes, productos, servicios y proveedores comprendidos en el alcance del sistema de gestión. Este documento integra los requisitos pertinentes de ISO 9001:2015 e IATF 16949 y los requisitos específicos del cliente que resulten contractualmente aplicables.</w:t>
      </w:r>
    </w:p>
    <w:p>
      <w:pPr>
        <w:pStyle w:val="Heading1"/>
      </w:pPr>
      <w:r>
        <w:t>2. Referencias y definiciones</w:t>
      </w:r>
    </w:p>
    <w:p>
      <w:pPr>
        <w:pStyle w:val="ListBullet"/>
      </w:pPr>
      <w:r>
        <w:t>ISO 9001:2015 — Sistemas de gestión de la calidad.</w:t>
      </w:r>
    </w:p>
    <w:p>
      <w:pPr>
        <w:pStyle w:val="ListBullet"/>
      </w:pPr>
      <w:r>
        <w:t>IATF 16949 — Requisitos para organizaciones de producción automotriz y piezas de servicio.</w:t>
      </w:r>
    </w:p>
    <w:p>
      <w:pPr>
        <w:pStyle w:val="ListBullet"/>
      </w:pPr>
      <w:r>
        <w:t>Requisitos legales, reglamentarios, contractuales y específicos del cliente vigentes.</w:t>
      </w:r>
    </w:p>
    <w:p>
      <w:pPr>
        <w:pStyle w:val="ListBullet"/>
      </w:pPr>
      <w:r>
        <w:t>Maestro de documentos, matriz de riesgos, mapa de procesos y registros relacionados.</w:t>
      </w:r>
    </w:p>
    <w:p>
      <w:pPr>
        <w:pStyle w:val="Heading1"/>
      </w:pPr>
      <w:r>
        <w:t>3. Responsabilidades</w:t>
      </w:r>
    </w:p>
    <w:p>
      <w:pPr>
        <w:pStyle w:val="ListBullet"/>
      </w:pPr>
      <w:r>
        <w:t>Dirección: aprobar, proveer recursos y revisar la eficacia.</w:t>
      </w:r>
    </w:p>
    <w:p>
      <w:pPr>
        <w:pStyle w:val="ListBullet"/>
      </w:pPr>
      <w:r>
        <w:t>Calidad: mantener este documento, verificar cumplimiento y conservar evidencias.</w:t>
      </w:r>
    </w:p>
    <w:p>
      <w:pPr>
        <w:pStyle w:val="ListBullet"/>
      </w:pPr>
      <w:r>
        <w:t>Responsables de proceso: implementar controles, medir resultados y tratar desvíos.</w:t>
      </w:r>
    </w:p>
    <w:p>
      <w:pPr>
        <w:pStyle w:val="ListBullet"/>
      </w:pPr>
      <w:r>
        <w:t>Todo el personal: cumplir instrucciones, informar riesgos y preservar registros.</w:t>
      </w:r>
    </w:p>
    <w:p>
      <w:pPr>
        <w:pStyle w:val="Heading1"/>
      </w:pPr>
      <w:r>
        <w:t>4. Requisitos del sistema</w:t>
      </w:r>
    </w:p>
    <w:p>
      <w:pPr>
        <w:pStyle w:val="Heading2"/>
      </w:pPr>
      <w:r>
        <w:t>4.1 Contexto, partes interesadas y alcance</w:t>
      </w:r>
    </w:p>
    <w:p>
      <w:r>
        <w:t>El responsable del proceso deberá definir, aplicar y mantener controles documentados para contexto, partes interesadas y alcance.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4.2 Mapa e interacción de procesos</w:t>
      </w:r>
    </w:p>
    <w:p>
      <w:r>
        <w:t>El responsable del proceso deberá definir, aplicar y mantener controles documentados para mapa e interacción de procesos.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4.3 Liderazgo, política y objetivos</w:t>
      </w:r>
    </w:p>
    <w:p>
      <w:r>
        <w:t>El responsable del proceso deberá definir, aplicar y mantener controles documentados para liderazgo, política y objetivos.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4.4 Planificación de riesgos y oportunidades</w:t>
      </w:r>
    </w:p>
    <w:p>
      <w:r>
        <w:t>El responsable del proceso deberá definir, aplicar y mantener controles documentados para planificación de riesgos y oportunidades.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4.5 Gestión de recursos y conocimiento</w:t>
      </w:r>
    </w:p>
    <w:p>
      <w:r>
        <w:t>El responsable del proceso deberá definir, aplicar y mantener controles documentados para gestión de recursos y conocimiento.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4.6 Operación y control de cambios</w:t>
      </w:r>
    </w:p>
    <w:p>
      <w:r>
        <w:t>El responsable del proceso deberá definir, aplicar y mantener controles documentados para operación y control de cambios.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4.7 Evaluación del desempeño y mejora</w:t>
      </w:r>
    </w:p>
    <w:p>
      <w:r>
        <w:t>El responsable del proceso deberá definir, aplicar y mantener controles documentados para evaluación del desempeño y mejora.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1"/>
      </w:pPr>
      <w:r>
        <w:t>5. Gestión de riesgos y cambios</w:t>
      </w:r>
    </w:p>
    <w:p>
      <w:r>
        <w:t>Antes de introducir cambios se evaluará su impacto sobre conformidad, seguridad del producto, capacidad, continuidad, trazabilidad, requisitos del cliente y documentos relacionados. Los cambios deberán ser aprobados por las funciones autorizadas y, cuando corresponda, por el cliente.</w:t>
      </w:r>
    </w:p>
    <w:p>
      <w:pPr>
        <w:pStyle w:val="Heading1"/>
      </w:pPr>
      <w:r>
        <w:t>6. Indicadores y seguimiento</w:t>
      </w:r>
    </w:p>
    <w:p>
      <w:pPr>
        <w:pStyle w:val="ListBullet"/>
      </w:pPr>
      <w:r>
        <w:t>Cumplimiento del plan y de los criterios definidos.</w:t>
      </w:r>
    </w:p>
    <w:p>
      <w:pPr>
        <w:pStyle w:val="ListBullet"/>
      </w:pPr>
      <w:r>
        <w:t>Cantidad, antigüedad y recurrencia de desvíos.</w:t>
      </w:r>
    </w:p>
    <w:p>
      <w:pPr>
        <w:pStyle w:val="ListBullet"/>
      </w:pPr>
      <w:r>
        <w:t>Eficacia de acciones y cumplimiento de plazos.</w:t>
      </w:r>
    </w:p>
    <w:p>
      <w:pPr>
        <w:pStyle w:val="ListBullet"/>
      </w:pPr>
      <w:r>
        <w:t>Impacto en cliente, producto, entrega, costo y seguridad.</w:t>
      </w:r>
    </w:p>
    <w:p>
      <w:pPr>
        <w:pStyle w:val="Heading1"/>
      </w:pPr>
      <w:r>
        <w:t>7. Registros y conservación</w:t>
      </w:r>
    </w:p>
    <w:p>
      <w:r>
        <w:t>Los registros deberán ser legibles, identificables, protegidos contra pérdida o alteración y recuperables durante el plazo definido en el maestro documental, requisitos del cliente y legislación aplicable. Las evidencias electrónicas deberán incluir respaldo y control de acceso.</w:t>
      </w:r>
    </w:p>
    <w:p>
      <w:pPr>
        <w:pStyle w:val="Heading1"/>
      </w:pPr>
      <w: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Aprobación</w:t>
            </w:r>
          </w:p>
        </w:tc>
      </w:tr>
      <w:tr>
        <w:tc>
          <w:tcPr>
            <w:tcW w:type="dxa" w:w="2448"/>
          </w:tcPr>
          <w:p>
            <w:r>
              <w:t>A</w:t>
            </w:r>
          </w:p>
        </w:tc>
        <w:tc>
          <w:tcPr>
            <w:tcW w:type="dxa" w:w="2448"/>
          </w:tcPr>
          <w:p>
            <w:r>
              <w:t>19/08/2026</w:t>
            </w:r>
          </w:p>
        </w:tc>
        <w:tc>
          <w:tcPr>
            <w:tcW w:type="dxa" w:w="2448"/>
          </w:tcPr>
          <w:p>
            <w:r>
              <w:t>Emisión para integración ISO 9001:2015 / IATF 16949.</w:t>
            </w:r>
          </w:p>
        </w:tc>
        <w:tc>
          <w:tcPr>
            <w:tcW w:type="dxa" w:w="2448"/>
          </w:tcPr>
          <w:p>
            <w:r>
              <w:t>Pendiente</w:t>
            </w:r>
          </w:p>
        </w:tc>
      </w:tr>
    </w:tbl>
    <w:p>
      <w:r>
        <w:br/>
        <w:t>Elaboró: ____________________    Revisó: ____________________    Aprobó: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MC-01 | Revisión A | Copia no controlada si se imprime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17A"/>
        <w:sz w:val="16"/>
      </w:rPr>
      <w:t>SISTEMA DE GESTIÓN KIMI  |  ISO 9001:2015 + IATF 16949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