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Competencia, formación y toma de conciencia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PG-06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competencia, formación y toma de conciencia,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Perfiles y competencias requeridas</w:t>
      </w:r>
    </w:p>
    <w:p>
      <w:r>
        <w:t>El responsable del proceso deberá definir, aplicar y mantener controles documentados para perfiles y competencias requeridas.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Inducción y capacitación en el puesto</w:t>
      </w:r>
    </w:p>
    <w:p>
      <w:r>
        <w:t>El responsable del proceso deberá definir, aplicar y mantener controles documentados para inducción y capacitación en el puesto.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Evaluación de eficacia</w:t>
      </w:r>
    </w:p>
    <w:p>
      <w:r>
        <w:t>El responsable del proceso deberá definir, aplicar y mantener controles documentados para evaluación de eficacia.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Competencia de auditores e inspectores</w:t>
      </w:r>
    </w:p>
    <w:p>
      <w:r>
        <w:t>El responsable del proceso deberá definir, aplicar y mantener controles documentados para competencia de auditores e inspectores.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Conciencia sobre calidad, seguridad del producto y consecuencias</w:t>
      </w:r>
    </w:p>
    <w:p>
      <w:r>
        <w:t>El responsable del proceso deberá definir, aplicar y mantener controles documentados para conciencia sobre calidad, seguridad del producto y consecuencias.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PG-06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