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NORMATIVA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N-00 – Subcontratación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Estándar de operación tecnológica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PR-SV-01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Contrataciones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Legales, Mantenimiento, Seguridad e Higiene y Tráfico.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El sistema de gestion de seguridad, es aplicado bajo los mismos estandares y requerimientos al personal subcontratado o equipos subcontratados?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subcontratación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subcontratación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Contrataciones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terceros estarán sujetos, como mínimo, a los mismos estándares exigidos a la operación propia y a controles previos y periódicos.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Contrataciones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subcontratación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Contrataciones,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Matriz que demuestre que los subcontratados cumplen las mismas políticas, capacitaciones, sanciones, controles, mantenimiento y tecnología.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Contratos y evaluaciones de proveedores.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subcontratación: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PR-SV-01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Matriz que demuestre que los subcontratados cumplen las mismas políticas, capacitaciones, sanciones, controles, mantenimiento y tecnología.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Contratos y evaluaciones de proveedores.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