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N-1 – Gestión legal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ha identificado todos los requerimientos legales, posee una matriz legal de seguimiento y se cuantifican sus resultados y se posee un plan de accion de adecuacion</w:t>
        <w:br/>
        <w:t>Realiza auditorias internas de verificacion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gestión legal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gestión legal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gestión legal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Matriz legal actualizada, porcentaje de cumplimiento, vencimientos, responsables, desvíos, planes de adecuación y calendario de auditorías internas.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gestión legal: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Matriz legal actualizada, porcentaje de cumplimiento, vencimientos, responsables, desvíos, planes de adecuación y calendario de auditorías internas.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