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N-7 – Plan ante emergencias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Forma de actuar en caso de accidente, incidentes, emergencia en ruta, somnolencia, perdida de carga, deterioro de unidad, situaciones personales de conductores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plan ante emergencias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plan ante emergencias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plan ante emergencias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Procedimientos para accidentes, somnolencia, pérdida de carga, averías y emergencias; contactos, simulacros, registros y mejoras posteriores.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plan ante emergencias: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Procedimientos para accidentes, somnolencia, pérdida de carga, averías y emergencias; contactos, simulacros, registros y mejoras posteriores.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