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25 – Auditoría de manejo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técnico y registro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realiza auditorías internas o inspecciones en ruta para evaluar el cumplimiento de los procedimientos de seguridad en la conducción?</w:t>
        <w:br/>
        <w:t>¿Existen criterios definidos para la observación y evaluación del desempeño de los conductores en la vía?</w:t>
        <w:br/>
        <w:t>¿Se llevan registros de las auditorías de manejo y se implementan acciones correctivas ante desvíos detectados?</w:t>
        <w:br/>
        <w:t>¿Los conductores reciben retroalimentación sobre su desempeño en seguridad vial y conducción segura?</w:t>
        <w:br/>
        <w:t>¿Se utilizan tecnologías (GPS, cámaras, telemetría) para la observación y análisis de la conducción de los choferes?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auditoría de manejo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auditoría de manejo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auditoría de manejo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Checklist de observación, auditorías en ruta, telemetría, cámaras, devolución al conductor y acciones correctivas.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auditoría de manejo: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Checklist de observación, auditorías en ruta, telemetría, cámaras, devolución al conductor y acciones correctivas.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