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27 – Carga física y cognitiva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CAP-SV-28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realizan evaluaciones periódicas de la carga física y cognitiva a la que están expuestos los conductores?</w:t>
        <w:br/>
        <w:t>¿Existen medidas para minimizar la fatiga laboral, como pausas activas, rotación de tareas o tiempos de descanso adecuados?</w:t>
        <w:br/>
        <w:t>¿La empresa proporciona capacitación sobre gestión del estrés, fatiga y estrategias de concentración en la conducción?</w:t>
        <w:br/>
        <w:t>¿Se llevan registros de incidentes relacionados con la fatiga o sobrecarga laboral y se analizan para implementar mejoras?</w:t>
        <w:br/>
        <w:t>Se realiza analisis distribucion segura de jornada de trabajo en relacion carga fisica y mental de los distintos procesos, rutas, clientes, distancias, cargas, etc</w:t>
        <w:br/>
        <w:t>se analiza esquema de postas o semaforo?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carga física y cognitiva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carga física y cognitiva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carga física y cognitiva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Evaluación por ruta y tarea, esquema de pausas y postas, semáforo de riesgo, capacitación y análisis de incidentes por fatiga.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carga física y cognitiva: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CAP-SV-28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Evaluación por ruta y tarea, esquema de pausas y postas, semáforo de riesgo, capacitación y análisis de incidentes por fatiga.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