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30 – KPI internos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Seguimiento de indicadores internos de accidentes, incidentes, infracciones, horas de conduccion, excesos de jornada, ocurrencias o desvios en conduccion, etc</w:t>
        <w:br/>
        <w:t>La empresa cuenta con un sistema de gestión que registre y analice indicadores clave de seguridad en el transporte?</w:t>
        <w:br/>
        <w:t>¿Se han definido KPIs específicos para evaluar el desempeño en seguridad vial, tiempos de descanso, incidentes y cumplimiento normativo?</w:t>
        <w:br/>
        <w:t>¿Se realizan análisis periódicos de los indicadores y se implementan acciones correctivas en caso de desviaciones?</w:t>
        <w:br/>
        <w:t>¿Los resultados de los KPIs son comunicados a los conductores y al personal relevante para la mejora continua?</w:t>
        <w:br/>
        <w:t>¿Existe un proceso de revisión y actualización de los KPIs para asegurar su alineación con los objetivos de seguridad, normativas vigentes y tg propuestos?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kpi internos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kpi internos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kpi internos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Tablero con accidentes, incidentes, infracciones, fatiga, jornada, velocidad y conducción riesgosa; metas, tendencias y causas.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kpi internos: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Tablero con accidentes, incidentes, infracciones, fatiga, jornada, velocidad y conducción riesgosa; metas, tendencias y causas.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