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FACTOR HUMANO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M/O 38 – Charlas posteriores a eventos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Programa de capacitación y registro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CAP-SV-39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RR. HH., Seguimiento, Mantenimiento y Calidad, según corresponda.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Verificar metodo y dinamica de charlas ante los diferentes eventos de seguridad</w:t>
        <w:br/>
        <w:t>verificar ultimos registros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charlas posteriores a eventos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charlas posteriores a eventos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Seguridad e Higiene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competencia y aptitud del personal se validarán antes de la habilitación y periódicamente, preservando la confidencialidad de los datos personales.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Seguridad e Higiene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charlas posteriores a eventos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Validar competencia y comprensión mediante evaluación teórica, práctica u observación en campo, según el riesgo.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Seguridad e Higiene,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Procedimiento, material utilizado, convocatoria, asistencia y acciones surgidas de accidentes, infracciones o actos inseguros.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Personal alcanzado por charlas posteriores a eventos: personas conformes / personas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Desvíos de competencia o conducta cerrados dentro del plazo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CAP-SV-39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Procedimiento, material utilizado, convocatoria, asistencia y acciones surgidas de accidentes, infracciones o actos inseguros.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CAP-SV-39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