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43 – Pausas activas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Programa de capacitación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Se contempla dentro de las capacitaciones el concepto de pausa activa, importancia, y maneras de implementarla dentro de la jornada de trabajo</w:t>
        <w:br/>
        <w:t>Se promueve la realización de pausas activas en intervalos específicos durante los turnos de trabajo, especialmente en viajes largos?</w:t>
        <w:br/>
        <w:t>¿Existen directrices claras para la ejecución de pausas activas, como ejercicios físicos o descansos programados, que ayuden a prevenir la fatiga y problemas musculoesqueléticos?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pausas activas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pausas activas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pausas activas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Directriz, ejercicios, frecuencia, material educativo, incorporación al viaje y control de cumplimiento.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pausas activas: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CAP-SV-44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Directriz, ejercicios, frecuencia, material educativo, incorporación al viaje y control de cumplimiento.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CAP-SV-44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