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FACTOR HUMANO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M/O 44 – Hábitos saludables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Programa de capacitación y registro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CAP-SV-45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RRHH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Se promueven hábitos saludables específicamente orientados a los conductores, considerando su estilo de vida y los desafíos del trabajo en ruta?</w:t>
        <w:br/>
        <w:t>¿Las capacitaciones incluyen la importancia del descanso adecuado, la hidratación y la gestión de la fatiga durante los viajes largos?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hábitos saludables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hábitos saludables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RRHH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competencia y aptitud del personal se validarán antes de la habilitación y periódicamente, preservando la confidencialidad de los datos personales.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Ante señales de fatiga, exceso de jornada o descanso insuficiente, se interrumpirá la asignación o conducción hasta recuperar una condición segura.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RRHH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hábitos saludables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Validar competencia y comprensión mediante evaluación teórica, práctica u observación en campo, según el riesgo.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RRHH,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Programa y material sobre descanso, alimentación, hidratación, sobrepeso, fatiga y somnolencia posprandial.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Personal alcanzado por hábitos saludables: personas conformes / personas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Desvíos de competencia o conducta cerrados dentro del plazo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CAP-SV-45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Programa y material sobre descanso, alimentación, hidratación, sobrepeso, fatiga y somnolencia posprandial.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CAP-SV-45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