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FACTOR HUMANO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M/O 50 – Material posterior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Programa de capacitación y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CAP-SV-51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Se entrega material del contenido de la capacitacion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material posterior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material posterior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competencia y aptitud del personal se validarán antes de la habilitación y periódicamente, preservando la confidencialidad de los datos personales.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Seguridad e Higiene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material posterior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Validar competencia y comprensión mediante evaluación teórica, práctica u observación en campo, según el riesgo.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Manuales, presentaciones, videos o fichas entregados; acceso posterior, control de versión y trazabilidad de entrega.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Personal alcanzado por material posterior: personas conformes / personas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Desvíos de competencia o conducta cerrados dentro del plazo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CAP-SV-51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Manuales, presentaciones, videos o fichas entregados; acceso posterior, control de versión y trazabilidad de entrega.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CAP-SV-51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