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40"/>
      </w:pPr>
      <w:r>
        <w:rPr>
          <w:rFonts w:ascii="Aptos" w:hAnsi="Aptos"/>
          <w:b/>
          <w:i w:val="0"/>
          <w:color w:val="C69214"/>
          <w:sz w:val="20"/>
        </w:rPr>
        <w:t>TECNOLOGÍA</w:t>
      </w:r>
    </w:p>
    <w:p>
      <w:pPr>
        <w:pStyle w:val="Title"/>
      </w:pPr>
      <w:r>
        <w:rPr>
          <w:rFonts w:ascii="Aptos" w:hAnsi="Aptos"/>
          <w:b/>
          <w:i w:val="0"/>
          <w:color w:val="1F4E78"/>
          <w:sz w:val="46"/>
        </w:rPr>
        <w:t>T 67 – Detención remota</w:t>
      </w:r>
    </w:p>
    <w:p>
      <w:pPr>
        <w:spacing w:after="240"/>
      </w:pPr>
      <w:r>
        <w:rPr>
          <w:rFonts w:ascii="Aptos" w:hAnsi="Aptos"/>
          <w:b w:val="0"/>
          <w:i w:val="0"/>
          <w:color w:val="2F75B5"/>
          <w:sz w:val="25"/>
        </w:rPr>
        <w:t>Estándar de operación tecnológica y registro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Código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PR-SV-68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Versión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1.0 · Borrador para aprobación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Responsable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Seguimiento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Participan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Tráfico, Seguridad e Higiene, Tecnología y Mantenimiento.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Vigencia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Desde su aprobación hasta la próxima revisión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Revisión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Anual y ante cambios o incidentes relevantes</w:t>
            </w:r>
          </w:p>
        </w:tc>
      </w:tr>
    </w:tbl>
    <w:p>
      <w:pPr>
        <w:spacing w:after="20"/>
      </w:pPr>
    </w:p>
    <w:p>
      <w:pPr>
        <w:pStyle w:val="Heading1"/>
      </w:pPr>
      <w:r>
        <w:t>1. Objeto y alcance</w:t>
      </w:r>
    </w:p>
    <w:p>
      <w:pPr>
        <w:spacing w:after="80"/>
      </w:pPr>
      <w:r>
        <w:rPr>
          <w:rFonts w:ascii="Aptos" w:hAnsi="Aptos"/>
          <w:b/>
          <w:i w:val="0"/>
          <w:color w:val="1F4E78"/>
          <w:sz w:val="21"/>
        </w:rPr>
        <w:t xml:space="preserve">Pregunta de auditoría: </w:t>
      </w:r>
      <w:r>
        <w:rPr>
          <w:rFonts w:ascii="Aptos" w:hAnsi="Aptos"/>
          <w:b w:val="0"/>
          <w:i w:val="0"/>
          <w:color w:val="202124"/>
          <w:sz w:val="21"/>
        </w:rPr>
        <w:t>Posee un sistema de detencion remota de vehiculo con advertencia previa en un tiempo suficiente para que el camionero pueda detener la marcha en un area segura.</w:t>
        <w:br/>
        <w:t>Esta por procedimiento cuando se aplica el proceso de detencion</w:t>
      </w:r>
    </w:p>
    <w:p>
      <w:r>
        <w:rPr>
          <w:rFonts w:ascii="Aptos" w:hAnsi="Aptos"/>
          <w:b w:val="0"/>
          <w:i w:val="0"/>
          <w:color w:val="202124"/>
          <w:sz w:val="21"/>
        </w:rPr>
        <w:t>Este documento establece los criterios obligatorios para gestionar detención remota en todas las operaciones, bases, unidades, conductores, personal propio y terceros alcanzados por la actividad de transporte de DADA.</w:t>
      </w:r>
    </w:p>
    <w:p>
      <w:pPr>
        <w:pStyle w:val="Heading1"/>
      </w:pPr>
      <w:r>
        <w:t>2. Lineamientos obligatorios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DADA establece como obligatorio gestionar detención remota mediante criterios documentados, responsables definidos y evidencias trazables.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El departamento Seguimiento será propietario del proceso, conservará los registros y reportará los desvíos a la Gerencia y a Calidad.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La solución deberá contar con inventario de cobertura, prueba funcional, mantenimiento, gestión de alertas y protocolo ante indisponibilidad.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Todo incumplimiento deberá documentarse, evaluarse según su riesgo y tratarse mediante acciones correctivas con plazo y responsable.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Los registros generados deberán ser legibles, recuperables, protegidos y conservarse durante el plazo legal o contractual aplicable.</w:t>
      </w:r>
    </w:p>
    <w:p>
      <w:pPr>
        <w:pStyle w:val="Heading1"/>
      </w:pPr>
      <w:r>
        <w:t>3. Responsabilidades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8"/>
              </w:rPr>
              <w:t>Rol</w:t>
            </w:r>
          </w:p>
        </w:tc>
        <w:tc>
          <w:tcPr>
            <w:tcW w:type="dxa" w:w="6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8"/>
              </w:rPr>
              <w:t>Responsabilidad</w:t>
            </w:r>
          </w:p>
        </w:tc>
      </w:tr>
      <w:tr>
        <w:tc>
          <w:tcPr>
            <w:tcW w:type="dxa" w:w="2500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Dirección</w:t>
            </w:r>
          </w:p>
        </w:tc>
        <w:tc>
          <w:tcPr>
            <w:tcW w:type="dxa" w:w="68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t>Aprobar el documento, asignar recursos y revisar el desempeño.</w:t>
            </w:r>
          </w:p>
        </w:tc>
      </w:tr>
      <w:tr>
        <w:tc>
          <w:tcPr>
            <w:tcW w:type="dxa" w:w="2500"/>
            <w:shd w:fill="F2F4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Seguimiento</w:t>
            </w:r>
          </w:p>
        </w:tc>
        <w:tc>
          <w:tcPr>
            <w:tcW w:type="dxa" w:w="6860"/>
            <w:shd w:fill="F2F4F7"/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t>Implementar el proceso, conservar evidencias, informar desvíos y medir resultados.</w:t>
            </w:r>
          </w:p>
        </w:tc>
      </w:tr>
      <w:tr>
        <w:tc>
          <w:tcPr>
            <w:tcW w:type="dxa" w:w="2500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Calidad</w:t>
            </w:r>
          </w:p>
        </w:tc>
        <w:tc>
          <w:tcPr>
            <w:tcW w:type="dxa" w:w="68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t>Controlar versiones, auditar la aplicación y verificar la eficacia de las acciones.</w:t>
            </w:r>
          </w:p>
        </w:tc>
      </w:tr>
      <w:tr>
        <w:tc>
          <w:tcPr>
            <w:tcW w:type="dxa" w:w="2500"/>
            <w:shd w:fill="F2F4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Personal alcanzado</w:t>
            </w:r>
          </w:p>
        </w:tc>
        <w:tc>
          <w:tcPr>
            <w:tcW w:type="dxa" w:w="6860"/>
            <w:shd w:fill="F2F4F7"/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t>Cumplir el estándar, participar de capacitaciones y reportar anormalidades.</w:t>
            </w:r>
          </w:p>
        </w:tc>
      </w:tr>
    </w:tbl>
    <w:p>
      <w:pPr>
        <w:pStyle w:val="Heading1"/>
      </w:pPr>
      <w:r>
        <w:t>4. Procedimiento de implementación</w:t>
      </w:r>
    </w:p>
    <w:p>
      <w:pPr>
        <w:numPr>
          <w:ilvl w:val="0"/>
          <w:numId w:val="10"/>
        </w:numPr>
      </w:pPr>
      <w:r>
        <w:rPr>
          <w:rFonts w:ascii="Aptos" w:hAnsi="Aptos"/>
          <w:b w:val="0"/>
          <w:i w:val="0"/>
          <w:color w:val="202124"/>
          <w:sz w:val="20"/>
        </w:rPr>
        <w:t>Designar formalmente al responsable de detención remota y aprobar este documento mediante firma de la autoridad correspondiente.</w:t>
      </w:r>
    </w:p>
    <w:p>
      <w:pPr>
        <w:numPr>
          <w:ilvl w:val="0"/>
          <w:numId w:val="10"/>
        </w:numPr>
      </w:pPr>
      <w:r>
        <w:rPr>
          <w:rFonts w:ascii="Aptos" w:hAnsi="Aptos"/>
          <w:b w:val="0"/>
          <w:i w:val="0"/>
          <w:color w:val="202124"/>
          <w:sz w:val="20"/>
        </w:rPr>
        <w:t>Comunicar el contenido a las personas alcanzadas y registrar asistencia, entrega o aceptación digital.</w:t>
      </w:r>
    </w:p>
    <w:p>
      <w:pPr>
        <w:numPr>
          <w:ilvl w:val="0"/>
          <w:numId w:val="10"/>
        </w:numPr>
      </w:pPr>
      <w:r>
        <w:rPr>
          <w:rFonts w:ascii="Aptos" w:hAnsi="Aptos"/>
          <w:b w:val="0"/>
          <w:i w:val="0"/>
          <w:color w:val="202124"/>
          <w:sz w:val="20"/>
        </w:rPr>
        <w:t>Verificar en una muestra representativa de unidades el funcionamiento real, la cobertura, el mantenimiento y el plan alternativo ante falla.</w:t>
      </w:r>
    </w:p>
    <w:p>
      <w:pPr>
        <w:numPr>
          <w:ilvl w:val="0"/>
          <w:numId w:val="10"/>
        </w:numPr>
      </w:pPr>
      <w:r>
        <w:rPr>
          <w:rFonts w:ascii="Aptos" w:hAnsi="Aptos"/>
          <w:b w:val="0"/>
          <w:i w:val="0"/>
          <w:color w:val="202124"/>
          <w:sz w:val="20"/>
        </w:rPr>
        <w:t>Implementar el control operativo bajo responsabilidad de Seguimiento, utilizando formatos con fecha, responsable, resultado, desvío y acción.</w:t>
      </w:r>
    </w:p>
    <w:p>
      <w:pPr>
        <w:numPr>
          <w:ilvl w:val="0"/>
          <w:numId w:val="10"/>
        </w:numPr>
      </w:pPr>
      <w:r>
        <w:rPr>
          <w:rFonts w:ascii="Aptos" w:hAnsi="Aptos"/>
          <w:b w:val="0"/>
          <w:i w:val="0"/>
          <w:color w:val="202124"/>
          <w:sz w:val="20"/>
        </w:rPr>
        <w:t>Revisar mensualmente los registros y elevar desvíos críticos de forma inmediata; realizar una revisión integral al menos una vez por año.</w:t>
      </w:r>
    </w:p>
    <w:p>
      <w:pPr>
        <w:pStyle w:val="Heading1"/>
      </w:pPr>
      <w:r>
        <w:t>5. Registros obligatorios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Procedimiento autorizado, condiciones de aplicación, responsables, advertencia previa, prueba segura y registros de uso.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Registro de desvíos, acciones correctivas y verificación de eficacia.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Control de versión, aprobación y evidencia de comunicación del documento.</w:t>
      </w:r>
    </w:p>
    <w:p>
      <w:pPr>
        <w:pStyle w:val="Heading1"/>
      </w:pPr>
      <w:r>
        <w:t>6. Indicadores y revisión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Cobertura operativa de detención remota: unidades habilitadas / unidades alcanzadas × 100.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Alertas tratadas dentro del plazo / alertas totales × 100.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Frecuencia mínima de revisión: mensual para la operación y anual para el documento.</w:t>
      </w:r>
    </w:p>
    <w:p>
      <w:r>
        <w:br w:type="page"/>
      </w:r>
    </w:p>
    <w:p>
      <w:pPr>
        <w:pStyle w:val="Heading1"/>
      </w:pPr>
      <w:r>
        <w:t>ANEXO A · Registro de verificación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Código relacionado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PR-SV-68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Fecha de verificación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____ / ____ / ______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Centro / operación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____________________________________________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Unidad / persona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____________________________________________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Verificador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____________________________________________</w:t>
            </w:r>
          </w:p>
        </w:tc>
      </w:tr>
    </w:tbl>
    <w:p>
      <w:pPr>
        <w:spacing w:after="20"/>
      </w:pP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4600"/>
        <w:gridCol w:w="760"/>
        <w:gridCol w:w="760"/>
        <w:gridCol w:w="760"/>
        <w:gridCol w:w="2480"/>
      </w:tblGrid>
      <w:tr>
        <w:trPr>
          <w:tblHeader w:val="true"/>
        </w:trPr>
        <w:tc>
          <w:tcPr>
            <w:tcW w:type="dxa" w:w="4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7"/>
              </w:rPr>
              <w:t>Evidencia o control</w:t>
            </w:r>
          </w:p>
        </w:tc>
        <w:tc>
          <w:tcPr>
            <w:tcW w:type="dxa" w:w="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7"/>
              </w:rPr>
              <w:t>Sí</w:t>
            </w:r>
          </w:p>
        </w:tc>
        <w:tc>
          <w:tcPr>
            <w:tcW w:type="dxa" w:w="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7"/>
              </w:rPr>
              <w:t>No</w:t>
            </w:r>
          </w:p>
        </w:tc>
        <w:tc>
          <w:tcPr>
            <w:tcW w:type="dxa" w:w="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7"/>
              </w:rPr>
              <w:t>N/A</w:t>
            </w:r>
          </w:p>
        </w:tc>
        <w:tc>
          <w:tcPr>
            <w:tcW w:type="dxa" w:w="24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7"/>
              </w:rPr>
              <w:t>Ubicación / referencia</w:t>
            </w:r>
          </w:p>
        </w:tc>
      </w:tr>
      <w:tr>
        <w:tc>
          <w:tcPr>
            <w:tcW w:type="dxa" w:w="4600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Procedimiento autorizado, condiciones de aplicación, responsables, advertencia previa, prueba segura y registros de uso.</w:t>
            </w:r>
          </w:p>
        </w:tc>
        <w:tc>
          <w:tcPr>
            <w:tcW w:type="dxa" w:w="760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760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760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2480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</w:tr>
      <w:tr>
        <w:tc>
          <w:tcPr>
            <w:tcW w:type="dxa" w:w="4600"/>
            <w:shd w:fill="F2F4F7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Registro de desvíos, acciones correctivas y verificación de eficacia.</w:t>
            </w:r>
          </w:p>
        </w:tc>
        <w:tc>
          <w:tcPr>
            <w:tcW w:type="dxa" w:w="760"/>
            <w:shd w:fill="F2F4F7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760"/>
            <w:shd w:fill="F2F4F7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760"/>
            <w:shd w:fill="F2F4F7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2480"/>
            <w:shd w:fill="F2F4F7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</w:tr>
      <w:tr>
        <w:tc>
          <w:tcPr>
            <w:tcW w:type="dxa" w:w="4600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Control de versión, aprobación y evidencia de comunicación del documento.</w:t>
            </w:r>
          </w:p>
        </w:tc>
        <w:tc>
          <w:tcPr>
            <w:tcW w:type="dxa" w:w="760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760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760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2480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</w:tr>
    </w:tbl>
    <w:p>
      <w:pPr>
        <w:pStyle w:val="Heading2"/>
      </w:pPr>
      <w:r>
        <w:t>Resultado de la verificación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Resultado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t>☐ Conforme     ☐ Parcial     ☐ No conforme     ☐ No aplica</w:t>
            </w:r>
          </w:p>
        </w:tc>
      </w:tr>
      <w:t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Porcentaje de cumplimiento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t>________ %</w:t>
            </w:r>
          </w:p>
        </w:tc>
      </w:tr>
      <w:t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Observaciones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br/>
              <w:br/>
            </w:r>
          </w:p>
        </w:tc>
      </w:tr>
      <w:t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Evidencia adjunta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br/>
            </w:r>
          </w:p>
        </w:tc>
      </w:tr>
    </w:tbl>
    <w:p>
      <w:pPr>
        <w:pStyle w:val="Heading1"/>
      </w:pPr>
      <w:r>
        <w:t>ANEXO B · Plan de acción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700"/>
        <w:gridCol w:w="2800"/>
        <w:gridCol w:w="1400"/>
        <w:gridCol w:w="1250"/>
        <w:gridCol w:w="1250"/>
        <w:gridCol w:w="1960"/>
      </w:tblGrid>
      <w:tr>
        <w:trPr>
          <w:tblHeader w:val="true"/>
        </w:trPr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6"/>
              </w:rPr>
              <w:t>N.º</w:t>
            </w:r>
          </w:p>
        </w:tc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6"/>
              </w:rPr>
              <w:t>Desvío / acción</w:t>
            </w:r>
          </w:p>
        </w:tc>
        <w:tc>
          <w:tcPr>
            <w:tcW w:type="dxa" w:w="1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6"/>
              </w:rPr>
              <w:t>Responsable</w:t>
            </w:r>
          </w:p>
        </w:tc>
        <w:tc>
          <w:tcPr>
            <w:tcW w:type="dxa" w:w="12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6"/>
              </w:rPr>
              <w:t>Fecha</w:t>
            </w:r>
          </w:p>
        </w:tc>
        <w:tc>
          <w:tcPr>
            <w:tcW w:type="dxa" w:w="12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6"/>
              </w:rPr>
              <w:t>Estado</w:t>
            </w:r>
          </w:p>
        </w:tc>
        <w:tc>
          <w:tcPr>
            <w:tcW w:type="dxa" w:w="19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6"/>
              </w:rPr>
              <w:t>Evidencia de cierre</w:t>
            </w:r>
          </w:p>
        </w:tc>
      </w:tr>
      <w:tr>
        <w:tc>
          <w:tcPr>
            <w:tcW w:type="dxa" w:w="7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1</w:t>
            </w:r>
          </w:p>
        </w:tc>
        <w:tc>
          <w:tcPr>
            <w:tcW w:type="dxa" w:w="28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br/>
            </w:r>
          </w:p>
        </w:tc>
        <w:tc>
          <w:tcPr>
            <w:tcW w:type="dxa" w:w="14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Pendiente</w:t>
            </w:r>
          </w:p>
        </w:tc>
        <w:tc>
          <w:tcPr>
            <w:tcW w:type="dxa" w:w="19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</w:tr>
      <w:tr>
        <w:tc>
          <w:tcPr>
            <w:tcW w:type="dxa" w:w="7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2</w:t>
            </w:r>
          </w:p>
        </w:tc>
        <w:tc>
          <w:tcPr>
            <w:tcW w:type="dxa" w:w="28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br/>
            </w:r>
          </w:p>
        </w:tc>
        <w:tc>
          <w:tcPr>
            <w:tcW w:type="dxa" w:w="14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Pendiente</w:t>
            </w:r>
          </w:p>
        </w:tc>
        <w:tc>
          <w:tcPr>
            <w:tcW w:type="dxa" w:w="19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</w:tr>
      <w:tr>
        <w:tc>
          <w:tcPr>
            <w:tcW w:type="dxa" w:w="7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3</w:t>
            </w:r>
          </w:p>
        </w:tc>
        <w:tc>
          <w:tcPr>
            <w:tcW w:type="dxa" w:w="28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br/>
            </w:r>
          </w:p>
        </w:tc>
        <w:tc>
          <w:tcPr>
            <w:tcW w:type="dxa" w:w="14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Pendiente</w:t>
            </w:r>
          </w:p>
        </w:tc>
        <w:tc>
          <w:tcPr>
            <w:tcW w:type="dxa" w:w="19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</w:tr>
      <w:tr>
        <w:tc>
          <w:tcPr>
            <w:tcW w:type="dxa" w:w="7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4</w:t>
            </w:r>
          </w:p>
        </w:tc>
        <w:tc>
          <w:tcPr>
            <w:tcW w:type="dxa" w:w="28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br/>
            </w:r>
          </w:p>
        </w:tc>
        <w:tc>
          <w:tcPr>
            <w:tcW w:type="dxa" w:w="14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Pendiente</w:t>
            </w:r>
          </w:p>
        </w:tc>
        <w:tc>
          <w:tcPr>
            <w:tcW w:type="dxa" w:w="19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</w:tr>
      <w:tr>
        <w:tc>
          <w:tcPr>
            <w:tcW w:type="dxa" w:w="7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5</w:t>
            </w:r>
          </w:p>
        </w:tc>
        <w:tc>
          <w:tcPr>
            <w:tcW w:type="dxa" w:w="28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br/>
            </w:r>
          </w:p>
        </w:tc>
        <w:tc>
          <w:tcPr>
            <w:tcW w:type="dxa" w:w="14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Pendiente</w:t>
            </w:r>
          </w:p>
        </w:tc>
        <w:tc>
          <w:tcPr>
            <w:tcW w:type="dxa" w:w="19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</w:tr>
    </w:tbl>
    <w:p>
      <w:pPr>
        <w:pStyle w:val="Heading2"/>
      </w:pPr>
      <w:r>
        <w:t>Aprobación y cierre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Elaboró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Revisó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Aprobó</w:t>
            </w:r>
          </w:p>
        </w:tc>
      </w:tr>
      <w:tr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/>
                <w:color w:val="5B6573"/>
                <w:sz w:val="17"/>
              </w:rPr>
              <w:t>Nombre / firma / fecha</w:t>
              <w:br/>
              <w:br/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/>
                <w:color w:val="5B6573"/>
                <w:sz w:val="17"/>
              </w:rPr>
              <w:t>Nombre / firma / fecha</w:t>
              <w:br/>
              <w:br/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/>
                <w:color w:val="5B6573"/>
                <w:sz w:val="17"/>
              </w:rPr>
              <w:t>Nombre / firma / fecha</w:t>
              <w:br/>
              <w:br/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037" w:right="1123" w:bottom="979" w:left="1123" w:header="461" w:footer="461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b w:val="0"/>
        <w:i w:val="0"/>
        <w:color w:val="5B6573"/>
        <w:sz w:val="16"/>
      </w:rPr>
      <w:t xml:space="preserve">Documento controlado · Página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i w:val="0"/>
        <w:color w:val="5B6573"/>
        <w:sz w:val="17"/>
      </w:rPr>
      <w:t>DADA 2026  |  PR-SV-68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80"/>
        <w:spacing w:after="60" w:line="280" w:lineRule="auto"/>
      </w:p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Aptos" w:hAnsi="Aptos"/>
      <w:color w:val="202124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F75B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F4E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4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F4E78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269" w:lineRule="auto"/>
      <w:contextualSpacing/>
    </w:pPr>
    <w:rPr>
      <w:rFonts w:ascii="Aptos" w:hAnsi="Aptos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60" w:line="269" w:lineRule="auto"/>
      <w:contextualSpacing/>
    </w:pPr>
    <w:rPr>
      <w:rFonts w:ascii="Aptos" w:hAnsi="Aptos"/>
      <w:sz w:val="2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