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B3D62"/>
          <w:sz w:val="30"/>
        </w:rPr>
        <w:t>UNIVERSIDAD NACIONAL DE SAN AGUSTÍN DE AREQUIPA</w:t>
        <w:br/>
      </w:r>
      <w:r>
        <w:rPr>
          <w:rFonts w:ascii="Times New Roman" w:hAnsi="Times New Roman"/>
          <w:b/>
          <w:color w:val="1B5E8B"/>
          <w:sz w:val="25"/>
        </w:rPr>
        <w:t>FACULTAD DE INGENIERÍA DE PRODUCCIÓN Y SERVICIOS</w:t>
        <w:br/>
        <w:t>ESCUELA PROFESIONAL DE INGENIERÍA DE SISTEMAS</w:t>
        <w:br/>
      </w:r>
      <w:r>
        <w:rPr>
          <w:rFonts w:ascii="Times New Roman" w:hAnsi="Times New Roman"/>
          <w:i/>
          <w:color w:val="505050"/>
          <w:sz w:val="20"/>
        </w:rPr>
        <w:t>Acreditación ABET – Formación en Ingeniería de Software de Clase Mundial</w:t>
        <w:br/>
      </w:r>
    </w:p>
    <w:p>
      <w:pPr>
        <w:spacing w:after="480"/>
        <w:jc w:val="center"/>
      </w:pPr>
      <w:r>
        <w:rPr>
          <w:rFonts w:ascii="Times New Roman" w:hAnsi="Times New Roman"/>
          <w:color w:val="0B3D62"/>
        </w:rPr>
        <w:t>――――――――――――――――――――――――――――――――――――――――――――――――――――</w:t>
      </w:r>
    </w:p>
    <w:p>
      <w:pPr>
        <w:spacing w:after="120"/>
        <w:jc w:val="center"/>
      </w:pPr>
      <w:r>
        <w:rPr>
          <w:rFonts w:ascii="Times New Roman" w:hAnsi="Times New Roman"/>
          <w:b/>
          <w:color w:val="0B3D62"/>
          <w:sz w:val="36"/>
        </w:rPr>
        <w:t>INFORME TÉCNICO DE LABORATORIO AG-10</w:t>
        <w:br/>
        <w:t>DISEÑO DE LA ARQUITECTURA DE RUTACOLCA</w:t>
      </w:r>
    </w:p>
    <w:p>
      <w:pPr>
        <w:spacing w:after="720"/>
        <w:jc w:val="center"/>
      </w:pPr>
      <w:r>
        <w:rPr>
          <w:rFonts w:ascii="Times New Roman" w:hAnsi="Times New Roman"/>
          <w:i/>
          <w:color w:val="1B5E8B"/>
          <w:sz w:val="24"/>
        </w:rPr>
        <w:t>Una Iteración de ADD 3.0 para la Temporada Alta en el Valle del Colca:</w:t>
        <w:br/>
        <w:t>Escenarios de Calidad, Tácticas de Disponibilidad, Patrón Outbox Transaccional,</w:t>
        <w:br/>
        <w:t>ADR-003, Modelo C4 y Evaluación Ligera ATAM</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80" w:type="dxa"/>
              <w:right w:w="80" w:type="dxa"/>
            </w:tcMar>
            <w:shd w:val="clear" w:color="auto" w:fill="F0F4F8"/>
          </w:tcPr>
          <w:p>
            <w:pPr>
              <w:jc w:val="right"/>
            </w:pPr>
            <w:r>
              <w:rPr>
                <w:rFonts w:ascii="Times New Roman" w:hAnsi="Times New Roman"/>
                <w:b/>
                <w:color w:val="0B3D62"/>
                <w:sz w:val="21"/>
              </w:rPr>
              <w:t>Asignatura:</w:t>
            </w:r>
          </w:p>
        </w:tc>
        <w:tc>
          <w:tcPr>
            <w:tcW w:type="dxa" w:w="6192"/>
            <w:tcMar>
              <w:top w:w="60" w:type="dxa"/>
              <w:bottom w:w="60" w:type="dxa"/>
              <w:left w:w="80" w:type="dxa"/>
              <w:right w:w="80" w:type="dxa"/>
            </w:tcMar>
            <w:shd w:val="clear" w:color="auto" w:fill="FAFAFA"/>
          </w:tcPr>
          <w:p>
            <w:pPr>
              <w:jc w:val="left"/>
            </w:pPr>
            <w:r>
              <w:rPr>
                <w:rFonts w:ascii="Times New Roman" w:hAnsi="Times New Roman"/>
                <w:color w:val="141414"/>
                <w:sz w:val="21"/>
              </w:rPr>
              <w:t>Construcción de Software (1703243) – Semestre 2026-B</w:t>
            </w:r>
          </w:p>
        </w:tc>
      </w:tr>
      <w:tr>
        <w:tc>
          <w:tcPr>
            <w:tcW w:type="dxa" w:w="3168"/>
            <w:tcMar>
              <w:top w:w="60" w:type="dxa"/>
              <w:bottom w:w="60" w:type="dxa"/>
              <w:left w:w="80" w:type="dxa"/>
              <w:right w:w="80" w:type="dxa"/>
            </w:tcMar>
            <w:shd w:val="clear" w:color="auto" w:fill="F0F4F8"/>
          </w:tcPr>
          <w:p>
            <w:pPr>
              <w:jc w:val="right"/>
            </w:pPr>
            <w:r>
              <w:rPr>
                <w:rFonts w:ascii="Times New Roman" w:hAnsi="Times New Roman"/>
                <w:b/>
                <w:color w:val="0B3D62"/>
                <w:sz w:val="21"/>
              </w:rPr>
              <w:t>Tema Académico:</w:t>
            </w:r>
          </w:p>
        </w:tc>
        <w:tc>
          <w:tcPr>
            <w:tcW w:type="dxa" w:w="6192"/>
            <w:tcMar>
              <w:top w:w="60" w:type="dxa"/>
              <w:bottom w:w="60" w:type="dxa"/>
              <w:left w:w="80" w:type="dxa"/>
              <w:right w:w="80" w:type="dxa"/>
            </w:tcMar>
            <w:shd w:val="clear" w:color="auto" w:fill="FAFAFA"/>
          </w:tcPr>
          <w:p>
            <w:pPr>
              <w:jc w:val="left"/>
            </w:pPr>
            <w:r>
              <w:rPr>
                <w:rFonts w:ascii="Times New Roman" w:hAnsi="Times New Roman"/>
                <w:color w:val="141414"/>
                <w:sz w:val="21"/>
              </w:rPr>
              <w:t>Tema 10: Diseño de la Arquitectura (Semana 10)</w:t>
            </w:r>
          </w:p>
        </w:tc>
      </w:tr>
      <w:tr>
        <w:tc>
          <w:tcPr>
            <w:tcW w:type="dxa" w:w="3168"/>
            <w:tcMar>
              <w:top w:w="60" w:type="dxa"/>
              <w:bottom w:w="60" w:type="dxa"/>
              <w:left w:w="80" w:type="dxa"/>
              <w:right w:w="80" w:type="dxa"/>
            </w:tcMar>
            <w:shd w:val="clear" w:color="auto" w:fill="F0F4F8"/>
          </w:tcPr>
          <w:p>
            <w:pPr>
              <w:jc w:val="right"/>
            </w:pPr>
            <w:r>
              <w:rPr>
                <w:rFonts w:ascii="Times New Roman" w:hAnsi="Times New Roman"/>
                <w:b/>
                <w:color w:val="0B3D62"/>
                <w:sz w:val="21"/>
              </w:rPr>
              <w:t>Docente Responsable:</w:t>
            </w:r>
          </w:p>
        </w:tc>
        <w:tc>
          <w:tcPr>
            <w:tcW w:type="dxa" w:w="6192"/>
            <w:tcMar>
              <w:top w:w="60" w:type="dxa"/>
              <w:bottom w:w="60" w:type="dxa"/>
              <w:left w:w="80" w:type="dxa"/>
              <w:right w:w="80" w:type="dxa"/>
            </w:tcMar>
            <w:shd w:val="clear" w:color="auto" w:fill="FAFAFA"/>
          </w:tcPr>
          <w:p>
            <w:pPr>
              <w:jc w:val="left"/>
            </w:pPr>
            <w:r>
              <w:rPr>
                <w:rFonts w:ascii="Times New Roman" w:hAnsi="Times New Roman"/>
                <w:color w:val="141414"/>
                <w:sz w:val="21"/>
              </w:rPr>
              <w:t>Mg. Antonio Arroyo Paz (aarroyop@unsa.edu.pe)</w:t>
            </w:r>
          </w:p>
        </w:tc>
      </w:tr>
      <w:tr>
        <w:tc>
          <w:tcPr>
            <w:tcW w:type="dxa" w:w="3168"/>
            <w:tcMar>
              <w:top w:w="60" w:type="dxa"/>
              <w:bottom w:w="60" w:type="dxa"/>
              <w:left w:w="80" w:type="dxa"/>
              <w:right w:w="80" w:type="dxa"/>
            </w:tcMar>
            <w:shd w:val="clear" w:color="auto" w:fill="F0F4F8"/>
          </w:tcPr>
          <w:p>
            <w:pPr>
              <w:jc w:val="right"/>
            </w:pPr>
            <w:r>
              <w:rPr>
                <w:rFonts w:ascii="Times New Roman" w:hAnsi="Times New Roman"/>
                <w:b/>
                <w:color w:val="0B3D62"/>
                <w:sz w:val="21"/>
              </w:rPr>
              <w:t>Grupo Asignado:</w:t>
            </w:r>
          </w:p>
        </w:tc>
        <w:tc>
          <w:tcPr>
            <w:tcW w:type="dxa" w:w="6192"/>
            <w:tcMar>
              <w:top w:w="60" w:type="dxa"/>
              <w:bottom w:w="60" w:type="dxa"/>
              <w:left w:w="80" w:type="dxa"/>
              <w:right w:w="80" w:type="dxa"/>
            </w:tcMar>
            <w:shd w:val="clear" w:color="auto" w:fill="FAFAFA"/>
          </w:tcPr>
          <w:p>
            <w:pPr>
              <w:jc w:val="left"/>
            </w:pPr>
            <w:r>
              <w:rPr>
                <w:rFonts w:ascii="Times New Roman" w:hAnsi="Times New Roman"/>
                <w:color w:val="141414"/>
                <w:sz w:val="21"/>
              </w:rPr>
              <w:t>Grupo 2 – Escenario Asignado E2: Disponibilidad (Pasarela de Pagos Caída)</w:t>
            </w:r>
          </w:p>
        </w:tc>
      </w:tr>
      <w:tr>
        <w:tc>
          <w:tcPr>
            <w:tcW w:type="dxa" w:w="3168"/>
            <w:tcMar>
              <w:top w:w="60" w:type="dxa"/>
              <w:bottom w:w="60" w:type="dxa"/>
              <w:left w:w="80" w:type="dxa"/>
              <w:right w:w="80" w:type="dxa"/>
            </w:tcMar>
            <w:shd w:val="clear" w:color="auto" w:fill="F0F4F8"/>
          </w:tcPr>
          <w:p>
            <w:pPr>
              <w:jc w:val="right"/>
            </w:pPr>
            <w:r>
              <w:rPr>
                <w:rFonts w:ascii="Times New Roman" w:hAnsi="Times New Roman"/>
                <w:b/>
                <w:color w:val="0B3D62"/>
                <w:sz w:val="21"/>
              </w:rPr>
              <w:t>Integrantes y Roles:</w:t>
            </w:r>
          </w:p>
        </w:tc>
        <w:tc>
          <w:tcPr>
            <w:tcW w:type="dxa" w:w="6192"/>
            <w:tcMar>
              <w:top w:w="60" w:type="dxa"/>
              <w:bottom w:w="60" w:type="dxa"/>
              <w:left w:w="80" w:type="dxa"/>
              <w:right w:w="80" w:type="dxa"/>
            </w:tcMar>
            <w:shd w:val="clear" w:color="auto" w:fill="FAFAFA"/>
          </w:tcPr>
          <w:p>
            <w:pPr>
              <w:jc w:val="left"/>
            </w:pPr>
            <w:r>
              <w:rPr>
                <w:rFonts w:ascii="Times New Roman" w:hAnsi="Times New Roman"/>
                <w:color w:val="141414"/>
                <w:sz w:val="21"/>
              </w:rPr>
              <w:t>• Emanuel Hilacondo Begazo (ehilacondob@unsa.edu.pe) – Facilitador ADD</w:t>
              <w:br/>
              <w:t>• German Arturo Chipana Jeronimo (gchipanaj@unsa.edu.pe) – Arquitecto</w:t>
              <w:br/>
              <w:t>• Leonardo Juan José Baca Calsin (lbacac@unsa.edu.pe) – Redactor</w:t>
              <w:br/>
              <w:t>• Mauro Snayder Sullca Mamani (msullcam@unsa.edu.pe) – Evaluador ATAM</w:t>
            </w:r>
          </w:p>
        </w:tc>
      </w:tr>
      <w:tr>
        <w:tc>
          <w:tcPr>
            <w:tcW w:type="dxa" w:w="3168"/>
            <w:tcMar>
              <w:top w:w="60" w:type="dxa"/>
              <w:bottom w:w="60" w:type="dxa"/>
              <w:left w:w="80" w:type="dxa"/>
              <w:right w:w="80" w:type="dxa"/>
            </w:tcMar>
            <w:shd w:val="clear" w:color="auto" w:fill="F0F4F8"/>
          </w:tcPr>
          <w:p>
            <w:pPr>
              <w:jc w:val="right"/>
            </w:pPr>
            <w:r>
              <w:rPr>
                <w:rFonts w:ascii="Times New Roman" w:hAnsi="Times New Roman"/>
                <w:b/>
                <w:color w:val="0B3D62"/>
                <w:sz w:val="21"/>
              </w:rPr>
              <w:t>Repositorio GitHub:</w:t>
            </w:r>
          </w:p>
        </w:tc>
        <w:tc>
          <w:tcPr>
            <w:tcW w:type="dxa" w:w="6192"/>
            <w:tcMar>
              <w:top w:w="60" w:type="dxa"/>
              <w:bottom w:w="60" w:type="dxa"/>
              <w:left w:w="80" w:type="dxa"/>
              <w:right w:w="80" w:type="dxa"/>
            </w:tcMar>
            <w:shd w:val="clear" w:color="auto" w:fill="FAFAFA"/>
          </w:tcPr>
          <w:p>
            <w:pPr>
              <w:jc w:val="left"/>
            </w:pPr>
            <w:r>
              <w:rPr>
                <w:rFonts w:ascii="Times New Roman" w:hAnsi="Times New Roman"/>
                <w:color w:val="141414"/>
                <w:sz w:val="21"/>
              </w:rPr>
              <w:t>https://github.com/leonardobaca7/rutaColca_C4.git (Rama main)</w:t>
            </w:r>
          </w:p>
        </w:tc>
      </w:tr>
    </w:tbl>
    <w:p>
      <w:pPr>
        <w:spacing w:before="900"/>
        <w:jc w:val="center"/>
      </w:pPr>
      <w:r>
        <w:rPr>
          <w:rFonts w:ascii="Times New Roman" w:hAnsi="Times New Roman"/>
          <w:color w:val="505050"/>
          <w:sz w:val="22"/>
        </w:rPr>
        <w:t>Arequipa, Perú</w:t>
        <w:br/>
        <w:t>Octubre de 2026</w:t>
      </w:r>
    </w:p>
    <w:p>
      <w:r>
        <w:br w:type="page"/>
      </w:r>
    </w:p>
    <w:p>
      <w:pPr>
        <w:keepNext/>
        <w:spacing w:before="320" w:after="120"/>
        <w:jc w:val="left"/>
      </w:pPr>
      <w:r>
        <w:rPr>
          <w:rFonts w:ascii="Times New Roman" w:hAnsi="Times New Roman"/>
          <w:b/>
          <w:color w:val="0B3D62"/>
          <w:sz w:val="32"/>
        </w:rPr>
        <w:t>Resumen Ejecutivo</w:t>
      </w:r>
    </w:p>
    <w:p>
      <w:pPr>
        <w:spacing w:after="120" w:line="276" w:lineRule="auto"/>
        <w:jc w:val="both"/>
      </w:pPr>
      <w:r>
        <w:rPr>
          <w:rFonts w:ascii="Times New Roman" w:hAnsi="Times New Roman"/>
          <w:i w:val="0"/>
          <w:color w:val="141414"/>
          <w:sz w:val="24"/>
        </w:rPr>
        <w:t>El presente informe documenta la solución integral del Caso Práctico Grupal AG-10 para la asignatura Construcción de Software (EPIS-UNSA, 2026-B). El objetivo central de la actividad consistió en diseñar una iteración de arquitectura de software para la plataforma RutaColca bajo el contexto de alta demanda en temporada alta (julio/agosto), donde las reservas se multiplican por diez y los servicios bancarios externos experimentan interrupciones periódicas. Empleando el método formal Attribute-Driven Design (ADD 3.0), las tácticas de disponibilidad de Bass et al. (2021) y una evaluación ligera basada en ATAM, el equipo priorizó los atributos de calidad del sistema y seleccionó el Escenario E2 (Disponibilidad: caída de pasarela de pagos por 15 minutos) como el de mayor concentración de riesgo crítico (A, A).</w:t>
      </w:r>
    </w:p>
    <w:p>
      <w:pPr>
        <w:spacing w:after="120" w:line="276" w:lineRule="auto"/>
        <w:jc w:val="both"/>
      </w:pPr>
      <w:r>
        <w:rPr>
          <w:rFonts w:ascii="Times New Roman" w:hAnsi="Times New Roman"/>
          <w:i w:val="0"/>
          <w:color w:val="141414"/>
          <w:sz w:val="24"/>
        </w:rPr>
        <w:t>Para resolver el escenario sin infringir la restricción obligatoria de mantener el Monolito Modular (ADR-001) ni incurrir en costos de infraestructura injustificados, se contrastaron formalmente dos alternativas. Se descartó la adopción de un broker distribuido externo (RabbitMQ/Kafka) por sobrecostos operativos (+120 USD/mes) y complejidad de entrega en 3 semanas, adoptando unánimemente el Patrón Outbox Transaccional sobre PostgreSQL 16 acoplado a un Circuit Breaker (Resilience4j) en Spring Boot 3 con Virtual Threads de Java 21. La decisión se formalizó en el ADR-003, el modelo C4 se enriqueció con una vista dinámica exportada, se implementó una prueba de concepto en Java 21 con 100% de conciliación exitosa bajo fallo simulado, y se ejecutó la evaluación cruzada ATAM sobre el escenario de seguridad (E3 / BOLA), cumpliendo todos los requisitos de la rúbrica institucional.</w:t>
      </w:r>
    </w:p>
    <w:p>
      <w:pPr>
        <w:keepNext/>
        <w:spacing w:before="320" w:after="120"/>
        <w:jc w:val="left"/>
      </w:pPr>
      <w:r>
        <w:rPr>
          <w:rFonts w:ascii="Times New Roman" w:hAnsi="Times New Roman"/>
          <w:b/>
          <w:color w:val="0B3D62"/>
          <w:sz w:val="32"/>
        </w:rPr>
        <w:t>1. Contexto Operativo y Drivers de Arquitectura</w:t>
      </w:r>
    </w:p>
    <w:p>
      <w:pPr>
        <w:spacing w:after="120" w:line="276" w:lineRule="auto"/>
        <w:jc w:val="both"/>
      </w:pPr>
      <w:r>
        <w:rPr>
          <w:rFonts w:ascii="Times New Roman" w:hAnsi="Times New Roman"/>
          <w:i w:val="0"/>
          <w:color w:val="141414"/>
          <w:sz w:val="24"/>
        </w:rPr>
        <w:t>RutaColca es una plataforma diseñada para digitalizar la cadena de valor turística del Valle del Colca (Arequipa - Chivay). Tras la línea base arquitectónica consolidada en AG-08 y la selección de patrones de diseño GoF en AG-09, el sistema afronta la llegada de la temporada alta de turismo (julio/agosto). La demanda de reservas experimenta un incremento de un orden de magnitud (×10), las pasarelas bancarias sufren caídas de hasta 15 minutos continuos, el servicio de verificación de AUTOCOLCA colapsa en horas pico, se registran intentos de manipulación de tours ajenos entre agencias competidoras y el consorcio solicita admitir PayPal para turistas extranjeros.</w:t>
      </w:r>
    </w:p>
    <w:p>
      <w:pPr>
        <w:spacing w:after="120" w:line="276" w:lineRule="auto"/>
        <w:jc w:val="both"/>
      </w:pPr>
      <w:r>
        <w:rPr>
          <w:rFonts w:ascii="Times New Roman" w:hAnsi="Times New Roman"/>
          <w:b/>
          <w:color w:val="141414"/>
          <w:sz w:val="24"/>
        </w:rPr>
        <w:t xml:space="preserve">Drivers de la Iteración: </w:t>
      </w:r>
      <w:r>
        <w:rPr>
          <w:rFonts w:ascii="Times New Roman" w:hAnsi="Times New Roman"/>
          <w:i w:val="0"/>
          <w:color w:val="141414"/>
          <w:sz w:val="24"/>
        </w:rPr>
        <w:t>El diseño de esta iteración está condicionado por drivers y restricciones innegociables:</w:t>
      </w:r>
    </w:p>
    <w:p>
      <w:pPr>
        <w:spacing w:after="120" w:line="276" w:lineRule="auto"/>
        <w:jc w:val="both"/>
      </w:pPr>
      <w:r>
        <w:rPr>
          <w:rFonts w:ascii="Times New Roman" w:hAnsi="Times New Roman"/>
          <w:i w:val="0"/>
          <w:color w:val="141414"/>
          <w:sz w:val="24"/>
        </w:rPr>
        <w:t>• Propósito: Evolucionar la arquitectura existente sin rehacer el sistema desde cero.</w:t>
      </w:r>
    </w:p>
    <w:p>
      <w:pPr>
        <w:spacing w:after="120" w:line="276" w:lineRule="auto"/>
        <w:jc w:val="both"/>
      </w:pPr>
      <w:r>
        <w:rPr>
          <w:rFonts w:ascii="Times New Roman" w:hAnsi="Times New Roman"/>
          <w:i w:val="0"/>
          <w:color w:val="141414"/>
          <w:sz w:val="24"/>
        </w:rPr>
        <w:t>• Restricción Arquitectónica (ADR-001): Preservar el Monolito Modular en Java 21 / Spring Boot 3 y PostgreSQL 16.</w:t>
      </w:r>
    </w:p>
    <w:p>
      <w:pPr>
        <w:spacing w:after="120" w:line="276" w:lineRule="auto"/>
        <w:jc w:val="both"/>
      </w:pPr>
      <w:r>
        <w:rPr>
          <w:rFonts w:ascii="Times New Roman" w:hAnsi="Times New Roman"/>
          <w:i w:val="0"/>
          <w:color w:val="141414"/>
          <w:sz w:val="24"/>
        </w:rPr>
        <w:t>• Restricción de Recursos: Equipo fijo de 4 desarrolladores con entrega final en 3 semanas.</w:t>
      </w:r>
    </w:p>
    <w:p>
      <w:pPr>
        <w:spacing w:after="120" w:line="276" w:lineRule="auto"/>
        <w:jc w:val="both"/>
      </w:pPr>
      <w:r>
        <w:rPr>
          <w:rFonts w:ascii="Times New Roman" w:hAnsi="Times New Roman"/>
          <w:i w:val="0"/>
          <w:color w:val="141414"/>
          <w:sz w:val="24"/>
        </w:rPr>
        <w:t>• Restricción Financiera: Cero infraestructura innecesaria; todo nuevo componente debe justificar estrictamente su costo operativo.</w:t>
      </w:r>
    </w:p>
    <w:p>
      <w:pPr>
        <w:spacing w:after="120" w:line="276" w:lineRule="auto"/>
        <w:jc w:val="both"/>
      </w:pPr>
      <w:r>
        <w:rPr>
          <w:rFonts w:ascii="Times New Roman" w:hAnsi="Times New Roman"/>
          <w:i w:val="0"/>
          <w:color w:val="141414"/>
          <w:sz w:val="24"/>
        </w:rPr>
        <w:t>• Preocupaciones Transversales: Trazabilidad, pruebas automatizadas y despliegue continuo sin corte de venta.</w:t>
      </w:r>
    </w:p>
    <w:p>
      <w:pPr>
        <w:keepNext/>
        <w:spacing w:before="320" w:after="120"/>
        <w:jc w:val="left"/>
      </w:pPr>
      <w:r>
        <w:rPr>
          <w:rFonts w:ascii="Times New Roman" w:hAnsi="Times New Roman"/>
          <w:b/>
          <w:color w:val="0B3D62"/>
          <w:sz w:val="32"/>
        </w:rPr>
        <w:t>2. Paso 1: Árbol de Utilidad y Priorización de Escenarios</w:t>
      </w:r>
    </w:p>
    <w:p>
      <w:pPr>
        <w:spacing w:after="120" w:line="276" w:lineRule="auto"/>
        <w:jc w:val="both"/>
      </w:pPr>
      <w:r>
        <w:rPr>
          <w:rFonts w:ascii="Times New Roman" w:hAnsi="Times New Roman"/>
          <w:i w:val="0"/>
          <w:color w:val="141414"/>
          <w:sz w:val="24"/>
        </w:rPr>
        <w:t>Siguiendo las directrices de ATAM (Kazman et al., 2000), el facilitador ADD lideró la calificación de los cinco escenarios de calidad del sistema evaluando su Importancia para el Negocio (I) y su Dificultad Técnica Estimada (D) con la arquitectura actual. La concentración de riesgo se identificó inequívocamente en los escenarios calificados como (A, 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B3D62"/>
          </w:tcPr>
          <w:p>
            <w:pPr>
              <w:jc w:val="center"/>
            </w:pPr>
            <w:r>
              <w:rPr>
                <w:rFonts w:ascii="Times New Roman" w:hAnsi="Times New Roman"/>
                <w:b/>
                <w:color w:val="FFFFFF"/>
                <w:sz w:val="20"/>
              </w:rPr>
              <w:t>ID</w:t>
            </w:r>
          </w:p>
        </w:tc>
        <w:tc>
          <w:tcPr>
            <w:tcW w:type="dxa" w:w="1872"/>
            <w:shd w:val="clear" w:color="auto" w:fill="0B3D62"/>
          </w:tcPr>
          <w:p>
            <w:pPr>
              <w:jc w:val="center"/>
            </w:pPr>
            <w:r>
              <w:rPr>
                <w:rFonts w:ascii="Times New Roman" w:hAnsi="Times New Roman"/>
                <w:b/>
                <w:color w:val="FFFFFF"/>
                <w:sz w:val="20"/>
              </w:rPr>
              <w:t>Atributo</w:t>
            </w:r>
          </w:p>
        </w:tc>
        <w:tc>
          <w:tcPr>
            <w:tcW w:type="dxa" w:w="1872"/>
            <w:shd w:val="clear" w:color="auto" w:fill="0B3D62"/>
          </w:tcPr>
          <w:p>
            <w:pPr>
              <w:jc w:val="center"/>
            </w:pPr>
            <w:r>
              <w:rPr>
                <w:rFonts w:ascii="Times New Roman" w:hAnsi="Times New Roman"/>
                <w:b/>
                <w:color w:val="FFFFFF"/>
                <w:sz w:val="20"/>
              </w:rPr>
              <w:t>Importancia (I)</w:t>
            </w:r>
          </w:p>
        </w:tc>
        <w:tc>
          <w:tcPr>
            <w:tcW w:type="dxa" w:w="1872"/>
            <w:shd w:val="clear" w:color="auto" w:fill="0B3D62"/>
          </w:tcPr>
          <w:p>
            <w:pPr>
              <w:jc w:val="center"/>
            </w:pPr>
            <w:r>
              <w:rPr>
                <w:rFonts w:ascii="Times New Roman" w:hAnsi="Times New Roman"/>
                <w:b/>
                <w:color w:val="FFFFFF"/>
                <w:sz w:val="20"/>
              </w:rPr>
              <w:t>Dificultad (D)</w:t>
            </w:r>
          </w:p>
        </w:tc>
        <w:tc>
          <w:tcPr>
            <w:tcW w:type="dxa" w:w="1872"/>
            <w:shd w:val="clear" w:color="auto" w:fill="0B3D62"/>
          </w:tcPr>
          <w:p>
            <w:pPr>
              <w:jc w:val="center"/>
            </w:pPr>
            <w:r>
              <w:rPr>
                <w:rFonts w:ascii="Times New Roman" w:hAnsi="Times New Roman"/>
                <w:b/>
                <w:color w:val="FFFFFF"/>
                <w:sz w:val="20"/>
              </w:rPr>
              <w:t>Justificación Técnica y de Negocio</w:t>
            </w:r>
          </w:p>
        </w:tc>
      </w:tr>
      <w:tr>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E1</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Rendimiento</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Alta (A)</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Media (M)</w:t>
            </w:r>
          </w:p>
        </w:tc>
        <w:tc>
          <w:tcPr>
            <w:tcW w:type="dxa" w:w="1872"/>
            <w:shd w:val="clear" w:color="auto" w:fill="FFFFFF"/>
            <w:tcMar>
              <w:top w:w="50" w:type="dxa"/>
              <w:bottom w:w="50" w:type="dxa"/>
              <w:left w:w="60" w:type="dxa"/>
              <w:right w:w="60" w:type="dxa"/>
            </w:tcMar>
          </w:tcPr>
          <w:p>
            <w:r>
              <w:rPr>
                <w:rFonts w:ascii="Times New Roman" w:hAnsi="Times New Roman"/>
                <w:color w:val="141414"/>
                <w:sz w:val="19"/>
              </w:rPr>
              <w:t>2000 consultas simultáneas saturarían la API; se mitiga con caché en memoria y réplicas.</w:t>
            </w:r>
          </w:p>
        </w:tc>
      </w:tr>
      <w:tr>
        <w:tc>
          <w:tcPr>
            <w:tcW w:type="dxa" w:w="1872"/>
            <w:shd w:val="clear" w:color="auto" w:fill="FFF0F0"/>
            <w:tcMar>
              <w:top w:w="50" w:type="dxa"/>
              <w:bottom w:w="50" w:type="dxa"/>
              <w:left w:w="60" w:type="dxa"/>
              <w:right w:w="60" w:type="dxa"/>
            </w:tcMar>
          </w:tcPr>
          <w:p>
            <w:pPr>
              <w:jc w:val="center"/>
            </w:pPr>
            <w:r>
              <w:rPr>
                <w:rFonts w:ascii="Times New Roman" w:hAnsi="Times New Roman"/>
                <w:color w:val="141414"/>
                <w:sz w:val="19"/>
              </w:rPr>
              <w:t>E2</w:t>
            </w:r>
          </w:p>
        </w:tc>
        <w:tc>
          <w:tcPr>
            <w:tcW w:type="dxa" w:w="1872"/>
            <w:shd w:val="clear" w:color="auto" w:fill="FFF0F0"/>
            <w:tcMar>
              <w:top w:w="50" w:type="dxa"/>
              <w:bottom w:w="50" w:type="dxa"/>
              <w:left w:w="60" w:type="dxa"/>
              <w:right w:w="60" w:type="dxa"/>
            </w:tcMar>
          </w:tcPr>
          <w:p>
            <w:pPr>
              <w:jc w:val="center"/>
            </w:pPr>
            <w:r>
              <w:rPr>
                <w:rFonts w:ascii="Times New Roman" w:hAnsi="Times New Roman"/>
                <w:color w:val="141414"/>
                <w:sz w:val="19"/>
              </w:rPr>
              <w:t>Disponibilidad</w:t>
            </w:r>
          </w:p>
        </w:tc>
        <w:tc>
          <w:tcPr>
            <w:tcW w:type="dxa" w:w="1872"/>
            <w:shd w:val="clear" w:color="auto" w:fill="FFF0F0"/>
            <w:tcMar>
              <w:top w:w="50" w:type="dxa"/>
              <w:bottom w:w="50" w:type="dxa"/>
              <w:left w:w="60" w:type="dxa"/>
              <w:right w:w="60" w:type="dxa"/>
            </w:tcMar>
          </w:tcPr>
          <w:p>
            <w:pPr>
              <w:jc w:val="center"/>
            </w:pPr>
            <w:r>
              <w:rPr>
                <w:rFonts w:ascii="Times New Roman" w:hAnsi="Times New Roman"/>
                <w:b/>
                <w:color w:val="B40000"/>
                <w:sz w:val="19"/>
              </w:rPr>
              <w:t>Alta (A)</w:t>
            </w:r>
          </w:p>
        </w:tc>
        <w:tc>
          <w:tcPr>
            <w:tcW w:type="dxa" w:w="1872"/>
            <w:shd w:val="clear" w:color="auto" w:fill="FFF0F0"/>
            <w:tcMar>
              <w:top w:w="50" w:type="dxa"/>
              <w:bottom w:w="50" w:type="dxa"/>
              <w:left w:w="60" w:type="dxa"/>
              <w:right w:w="60" w:type="dxa"/>
            </w:tcMar>
          </w:tcPr>
          <w:p>
            <w:pPr>
              <w:jc w:val="center"/>
            </w:pPr>
            <w:r>
              <w:rPr>
                <w:rFonts w:ascii="Times New Roman" w:hAnsi="Times New Roman"/>
                <w:b/>
                <w:color w:val="B40000"/>
                <w:sz w:val="19"/>
              </w:rPr>
              <w:t>Alta (A)</w:t>
            </w:r>
          </w:p>
        </w:tc>
        <w:tc>
          <w:tcPr>
            <w:tcW w:type="dxa" w:w="1872"/>
            <w:shd w:val="clear" w:color="auto" w:fill="FFF0F0"/>
            <w:tcMar>
              <w:top w:w="50" w:type="dxa"/>
              <w:bottom w:w="50" w:type="dxa"/>
              <w:left w:w="60" w:type="dxa"/>
              <w:right w:w="60" w:type="dxa"/>
            </w:tcMar>
          </w:tcPr>
          <w:p>
            <w:r>
              <w:rPr>
                <w:rFonts w:ascii="Times New Roman" w:hAnsi="Times New Roman"/>
                <w:color w:val="141414"/>
                <w:sz w:val="19"/>
              </w:rPr>
              <w:t>Caída externa de 15 min; arquitectura síncrona causa cobros huérfanos y agotamiento de hilos.</w:t>
            </w:r>
          </w:p>
        </w:tc>
      </w:tr>
      <w:tr>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E3</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Seguridad</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Alta (A)</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Media (M)</w:t>
            </w:r>
          </w:p>
        </w:tc>
        <w:tc>
          <w:tcPr>
            <w:tcW w:type="dxa" w:w="1872"/>
            <w:shd w:val="clear" w:color="auto" w:fill="FFFFFF"/>
            <w:tcMar>
              <w:top w:w="50" w:type="dxa"/>
              <w:bottom w:w="50" w:type="dxa"/>
              <w:left w:w="60" w:type="dxa"/>
              <w:right w:w="60" w:type="dxa"/>
            </w:tcMar>
          </w:tcPr>
          <w:p>
            <w:r>
              <w:rPr>
                <w:rFonts w:ascii="Times New Roman" w:hAnsi="Times New Roman"/>
                <w:color w:val="141414"/>
                <w:sz w:val="19"/>
              </w:rPr>
              <w:t>Manipulación de tours ajenos; requiere validación estricta de objeto (BOLA) y auditoría sin penalizar latencia.</w:t>
            </w:r>
          </w:p>
        </w:tc>
      </w:tr>
      <w:tr>
        <w:tc>
          <w:tcPr>
            <w:tcW w:type="dxa" w:w="1872"/>
            <w:shd w:val="clear" w:color="auto" w:fill="F9FBFD"/>
            <w:tcMar>
              <w:top w:w="50" w:type="dxa"/>
              <w:bottom w:w="50" w:type="dxa"/>
              <w:left w:w="60" w:type="dxa"/>
              <w:right w:w="60" w:type="dxa"/>
            </w:tcMar>
          </w:tcPr>
          <w:p>
            <w:pPr>
              <w:jc w:val="center"/>
            </w:pPr>
            <w:r>
              <w:rPr>
                <w:rFonts w:ascii="Times New Roman" w:hAnsi="Times New Roman"/>
                <w:color w:val="141414"/>
                <w:sz w:val="19"/>
              </w:rPr>
              <w:t>E4</w:t>
            </w:r>
          </w:p>
        </w:tc>
        <w:tc>
          <w:tcPr>
            <w:tcW w:type="dxa" w:w="1872"/>
            <w:shd w:val="clear" w:color="auto" w:fill="F9FBFD"/>
            <w:tcMar>
              <w:top w:w="50" w:type="dxa"/>
              <w:bottom w:w="50" w:type="dxa"/>
              <w:left w:w="60" w:type="dxa"/>
              <w:right w:w="60" w:type="dxa"/>
            </w:tcMar>
          </w:tcPr>
          <w:p>
            <w:pPr>
              <w:jc w:val="center"/>
            </w:pPr>
            <w:r>
              <w:rPr>
                <w:rFonts w:ascii="Times New Roman" w:hAnsi="Times New Roman"/>
                <w:color w:val="141414"/>
                <w:sz w:val="19"/>
              </w:rPr>
              <w:t>Modificabilidad</w:t>
            </w:r>
          </w:p>
        </w:tc>
        <w:tc>
          <w:tcPr>
            <w:tcW w:type="dxa" w:w="1872"/>
            <w:shd w:val="clear" w:color="auto" w:fill="F9FBFD"/>
            <w:tcMar>
              <w:top w:w="50" w:type="dxa"/>
              <w:bottom w:w="50" w:type="dxa"/>
              <w:left w:w="60" w:type="dxa"/>
              <w:right w:w="60" w:type="dxa"/>
            </w:tcMar>
          </w:tcPr>
          <w:p>
            <w:pPr>
              <w:jc w:val="center"/>
            </w:pPr>
            <w:r>
              <w:rPr>
                <w:rFonts w:ascii="Times New Roman" w:hAnsi="Times New Roman"/>
                <w:color w:val="141414"/>
                <w:sz w:val="19"/>
              </w:rPr>
              <w:t>Media (M)</w:t>
            </w:r>
          </w:p>
        </w:tc>
        <w:tc>
          <w:tcPr>
            <w:tcW w:type="dxa" w:w="1872"/>
            <w:shd w:val="clear" w:color="auto" w:fill="F9FBFD"/>
            <w:tcMar>
              <w:top w:w="50" w:type="dxa"/>
              <w:bottom w:w="50" w:type="dxa"/>
              <w:left w:w="60" w:type="dxa"/>
              <w:right w:w="60" w:type="dxa"/>
            </w:tcMar>
          </w:tcPr>
          <w:p>
            <w:pPr>
              <w:jc w:val="center"/>
            </w:pPr>
            <w:r>
              <w:rPr>
                <w:rFonts w:ascii="Times New Roman" w:hAnsi="Times New Roman"/>
                <w:color w:val="141414"/>
                <w:sz w:val="19"/>
              </w:rPr>
              <w:t>Baja (B)</w:t>
            </w:r>
          </w:p>
        </w:tc>
        <w:tc>
          <w:tcPr>
            <w:tcW w:type="dxa" w:w="1872"/>
            <w:shd w:val="clear" w:color="auto" w:fill="F9FBFD"/>
            <w:tcMar>
              <w:top w:w="50" w:type="dxa"/>
              <w:bottom w:w="50" w:type="dxa"/>
              <w:left w:w="60" w:type="dxa"/>
              <w:right w:w="60" w:type="dxa"/>
            </w:tcMar>
          </w:tcPr>
          <w:p>
            <w:r>
              <w:rPr>
                <w:rFonts w:ascii="Times New Roman" w:hAnsi="Times New Roman"/>
                <w:color w:val="141414"/>
                <w:sz w:val="19"/>
              </w:rPr>
              <w:t>Aceptar PayPal en ≤ 3 días-persona se resuelve mediante la infraestructura de adaptadores ya existente.</w:t>
            </w:r>
          </w:p>
        </w:tc>
      </w:tr>
      <w:tr>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E5</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Interoperabilidad</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Alta (A)</w:t>
            </w:r>
          </w:p>
        </w:tc>
        <w:tc>
          <w:tcPr>
            <w:tcW w:type="dxa" w:w="1872"/>
            <w:shd w:val="clear" w:color="auto" w:fill="FFFFFF"/>
            <w:tcMar>
              <w:top w:w="50" w:type="dxa"/>
              <w:bottom w:w="50" w:type="dxa"/>
              <w:left w:w="60" w:type="dxa"/>
              <w:right w:w="60" w:type="dxa"/>
            </w:tcMar>
          </w:tcPr>
          <w:p>
            <w:pPr>
              <w:jc w:val="center"/>
            </w:pPr>
            <w:r>
              <w:rPr>
                <w:rFonts w:ascii="Times New Roman" w:hAnsi="Times New Roman"/>
                <w:color w:val="141414"/>
                <w:sz w:val="19"/>
              </w:rPr>
              <w:t>Media (M)</w:t>
            </w:r>
          </w:p>
        </w:tc>
        <w:tc>
          <w:tcPr>
            <w:tcW w:type="dxa" w:w="1872"/>
            <w:shd w:val="clear" w:color="auto" w:fill="FFFFFF"/>
            <w:tcMar>
              <w:top w:w="50" w:type="dxa"/>
              <w:bottom w:w="50" w:type="dxa"/>
              <w:left w:w="60" w:type="dxa"/>
              <w:right w:w="60" w:type="dxa"/>
            </w:tcMar>
          </w:tcPr>
          <w:p>
            <w:r>
              <w:rPr>
                <w:rFonts w:ascii="Times New Roman" w:hAnsi="Times New Roman"/>
                <w:color w:val="141414"/>
                <w:sz w:val="19"/>
              </w:rPr>
              <w:t>Caída de AUTOCOLCA impide emitir boletos; requiere desacoplamiento temporal y conciliación por lotes.</w:t>
            </w:r>
          </w:p>
        </w:tc>
      </w:tr>
    </w:tbl>
    <w:p>
      <w:pPr>
        <w:spacing w:after="240" w:line="276" w:lineRule="auto"/>
        <w:jc w:val="both"/>
      </w:pPr>
      <w:r>
        <w:rPr>
          <w:rFonts w:ascii="Times New Roman" w:hAnsi="Times New Roman"/>
          <w:b/>
          <w:color w:val="141414"/>
          <w:sz w:val="24"/>
        </w:rPr>
        <w:t xml:space="preserve">Resultado: </w:t>
      </w:r>
      <w:r>
        <w:rPr>
          <w:rFonts w:ascii="Times New Roman" w:hAnsi="Times New Roman"/>
          <w:i w:val="0"/>
          <w:color w:val="141414"/>
          <w:sz w:val="24"/>
        </w:rPr>
        <w:t>Conclusión de Priorización: El Escenario E2 (Disponibilidad) fue seleccionado como el objetivo crítico de la iteración ADD 3.0 debido a que perder pagos destruye la confianza comercial, genera cancelaciones erróneas y acarrea severas consecuencias contables y legales.</w:t>
      </w:r>
    </w:p>
    <w:p>
      <w:pPr>
        <w:keepNext/>
        <w:spacing w:before="320" w:after="120"/>
        <w:jc w:val="left"/>
      </w:pPr>
      <w:r>
        <w:rPr>
          <w:rFonts w:ascii="Times New Roman" w:hAnsi="Times New Roman"/>
          <w:b/>
          <w:color w:val="0B3D62"/>
          <w:sz w:val="32"/>
        </w:rPr>
        <w:t>3. Paso 2: Especificación del Escenario E2 en Seis Partes</w:t>
      </w:r>
    </w:p>
    <w:p>
      <w:pPr>
        <w:spacing w:after="120" w:line="276" w:lineRule="auto"/>
        <w:jc w:val="both"/>
      </w:pPr>
      <w:r>
        <w:rPr>
          <w:rFonts w:ascii="Times New Roman" w:hAnsi="Times New Roman"/>
          <w:i w:val="0"/>
          <w:color w:val="141414"/>
          <w:sz w:val="24"/>
        </w:rPr>
        <w:t>Para garantizar la verificación objetiva y eliminar ambigüedades, el escenario E2 se formalizó en sus seis componentes estándar conforme a Bass, Clements y Kazman (2021):</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70" w:type="dxa"/>
              <w:right w:w="70" w:type="dxa"/>
            </w:tcMar>
            <w:shd w:val="clear" w:color="auto" w:fill="EBF3FA"/>
          </w:tcPr>
          <w:p>
            <w:r>
              <w:rPr>
                <w:rFonts w:ascii="Times New Roman" w:hAnsi="Times New Roman"/>
                <w:b/>
                <w:color w:val="0B3D62"/>
                <w:sz w:val="20"/>
              </w:rPr>
              <w:t>1. Fuente del Estímulo</w:t>
            </w:r>
          </w:p>
        </w:tc>
        <w:tc>
          <w:tcPr>
            <w:tcW w:type="dxa" w:w="6192"/>
            <w:tcMar>
              <w:top w:w="50" w:type="dxa"/>
              <w:bottom w:w="50" w:type="dxa"/>
              <w:left w:w="70" w:type="dxa"/>
              <w:right w:w="70" w:type="dxa"/>
            </w:tcMar>
            <w:shd w:val="clear" w:color="auto" w:fill="FFFFFF"/>
          </w:tcPr>
          <w:p>
            <w:r>
              <w:rPr>
                <w:rFonts w:ascii="Times New Roman" w:hAnsi="Times New Roman"/>
                <w:color w:val="141414"/>
                <w:sz w:val="20"/>
              </w:rPr>
              <w:t>Pasarela Externa de Pagos Bancarios (Niubiz, Izipay o API de PayPal), servicio de terceros incontrolable.</w:t>
            </w:r>
          </w:p>
        </w:tc>
      </w:tr>
      <w:tr>
        <w:tc>
          <w:tcPr>
            <w:tcW w:type="dxa" w:w="3168"/>
            <w:tcMar>
              <w:top w:w="50" w:type="dxa"/>
              <w:bottom w:w="50" w:type="dxa"/>
              <w:left w:w="70" w:type="dxa"/>
              <w:right w:w="70" w:type="dxa"/>
            </w:tcMar>
            <w:shd w:val="clear" w:color="auto" w:fill="EBF3FA"/>
          </w:tcPr>
          <w:p>
            <w:r>
              <w:rPr>
                <w:rFonts w:ascii="Times New Roman" w:hAnsi="Times New Roman"/>
                <w:b/>
                <w:color w:val="0B3D62"/>
                <w:sz w:val="20"/>
              </w:rPr>
              <w:t>2. Estímulo</w:t>
            </w:r>
          </w:p>
        </w:tc>
        <w:tc>
          <w:tcPr>
            <w:tcW w:type="dxa" w:w="6192"/>
            <w:tcMar>
              <w:top w:w="50" w:type="dxa"/>
              <w:bottom w:w="50" w:type="dxa"/>
              <w:left w:w="70" w:type="dxa"/>
              <w:right w:w="70" w:type="dxa"/>
            </w:tcMar>
            <w:shd w:val="clear" w:color="auto" w:fill="FDFDFD"/>
          </w:tcPr>
          <w:p>
            <w:r>
              <w:rPr>
                <w:rFonts w:ascii="Times New Roman" w:hAnsi="Times New Roman"/>
                <w:color w:val="141414"/>
                <w:sz w:val="20"/>
              </w:rPr>
              <w:t>Corte del servicio o timeout de red durante una ventana de hasta 15 minutos continuos (HTTP 504 / SocketTimeout).</w:t>
            </w:r>
          </w:p>
        </w:tc>
      </w:tr>
      <w:tr>
        <w:tc>
          <w:tcPr>
            <w:tcW w:type="dxa" w:w="3168"/>
            <w:tcMar>
              <w:top w:w="50" w:type="dxa"/>
              <w:bottom w:w="50" w:type="dxa"/>
              <w:left w:w="70" w:type="dxa"/>
              <w:right w:w="70" w:type="dxa"/>
            </w:tcMar>
            <w:shd w:val="clear" w:color="auto" w:fill="EBF3FA"/>
          </w:tcPr>
          <w:p>
            <w:r>
              <w:rPr>
                <w:rFonts w:ascii="Times New Roman" w:hAnsi="Times New Roman"/>
                <w:b/>
                <w:color w:val="0B3D62"/>
                <w:sz w:val="20"/>
              </w:rPr>
              <w:t>3. Artefacto Afectado</w:t>
            </w:r>
          </w:p>
        </w:tc>
        <w:tc>
          <w:tcPr>
            <w:tcW w:type="dxa" w:w="6192"/>
            <w:tcMar>
              <w:top w:w="50" w:type="dxa"/>
              <w:bottom w:w="50" w:type="dxa"/>
              <w:left w:w="70" w:type="dxa"/>
              <w:right w:w="70" w:type="dxa"/>
            </w:tcMar>
            <w:shd w:val="clear" w:color="auto" w:fill="FFFFFF"/>
          </w:tcPr>
          <w:p>
            <w:r>
              <w:rPr>
                <w:rFonts w:ascii="Times New Roman" w:hAnsi="Times New Roman"/>
                <w:color w:val="141414"/>
                <w:sz w:val="20"/>
              </w:rPr>
              <w:t>Módulo de Pagos y Reservas en la API Backend (Spring Boot 3 / Java 21) y tablas transaccionales en PostgreSQL 16.</w:t>
            </w:r>
          </w:p>
        </w:tc>
      </w:tr>
      <w:tr>
        <w:tc>
          <w:tcPr>
            <w:tcW w:type="dxa" w:w="3168"/>
            <w:tcMar>
              <w:top w:w="50" w:type="dxa"/>
              <w:bottom w:w="50" w:type="dxa"/>
              <w:left w:w="70" w:type="dxa"/>
              <w:right w:w="70" w:type="dxa"/>
            </w:tcMar>
            <w:shd w:val="clear" w:color="auto" w:fill="EBF3FA"/>
          </w:tcPr>
          <w:p>
            <w:r>
              <w:rPr>
                <w:rFonts w:ascii="Times New Roman" w:hAnsi="Times New Roman"/>
                <w:b/>
                <w:color w:val="0B3D62"/>
                <w:sz w:val="20"/>
              </w:rPr>
              <w:t>4. Entorno de Operación</w:t>
            </w:r>
          </w:p>
        </w:tc>
        <w:tc>
          <w:tcPr>
            <w:tcW w:type="dxa" w:w="6192"/>
            <w:tcMar>
              <w:top w:w="50" w:type="dxa"/>
              <w:bottom w:w="50" w:type="dxa"/>
              <w:left w:w="70" w:type="dxa"/>
              <w:right w:w="70" w:type="dxa"/>
            </w:tcMar>
            <w:shd w:val="clear" w:color="auto" w:fill="FDFDFD"/>
          </w:tcPr>
          <w:p>
            <w:r>
              <w:rPr>
                <w:rFonts w:ascii="Times New Roman" w:hAnsi="Times New Roman"/>
                <w:color w:val="141414"/>
                <w:sz w:val="20"/>
              </w:rPr>
              <w:t>Operación en temporada alta (pico de carga ×10) con alta concurrencia de turistas comprando tours antes de agotar cupos.</w:t>
            </w:r>
          </w:p>
        </w:tc>
      </w:tr>
      <w:tr>
        <w:tc>
          <w:tcPr>
            <w:tcW w:type="dxa" w:w="3168"/>
            <w:tcMar>
              <w:top w:w="50" w:type="dxa"/>
              <w:bottom w:w="50" w:type="dxa"/>
              <w:left w:w="70" w:type="dxa"/>
              <w:right w:w="70" w:type="dxa"/>
            </w:tcMar>
            <w:shd w:val="clear" w:color="auto" w:fill="EBF3FA"/>
          </w:tcPr>
          <w:p>
            <w:r>
              <w:rPr>
                <w:rFonts w:ascii="Times New Roman" w:hAnsi="Times New Roman"/>
                <w:b/>
                <w:color w:val="0B3D62"/>
                <w:sz w:val="20"/>
              </w:rPr>
              <w:t>5. Respuesta del Sistema</w:t>
            </w:r>
          </w:p>
        </w:tc>
        <w:tc>
          <w:tcPr>
            <w:tcW w:type="dxa" w:w="6192"/>
            <w:tcMar>
              <w:top w:w="50" w:type="dxa"/>
              <w:bottom w:w="50" w:type="dxa"/>
              <w:left w:w="70" w:type="dxa"/>
              <w:right w:w="70" w:type="dxa"/>
            </w:tcMar>
            <w:shd w:val="clear" w:color="auto" w:fill="FFFFFF"/>
          </w:tcPr>
          <w:p>
            <w:r>
              <w:rPr>
                <w:rFonts w:ascii="Times New Roman" w:hAnsi="Times New Roman"/>
                <w:color w:val="141414"/>
                <w:sz w:val="20"/>
              </w:rPr>
              <w:t>1. El Circuit Breaker detecta fallas sucesivas e interrumpe llamadas síncronas bloqueantes, evitando la saturación del pool de hilos.</w:t>
              <w:br/>
              <w:t>2. La reserva y la orden de cobro se insertan atómicamente en una tabla local de salida (Transactional Outbox) con estado PENDIENTE_PAGO.</w:t>
              <w:br/>
              <w:t>3. Se responde al turista de inmediato (≤ 1.2 s) informando que su reserva está asegurada y su pago en verificación diferida.</w:t>
              <w:br/>
              <w:t>4. Al recuperarse la pasarela, el OutboxRelayWorker reintenta y concilia automáticamente los cobros pendientes.</w:t>
            </w:r>
          </w:p>
        </w:tc>
      </w:tr>
      <w:tr>
        <w:tc>
          <w:tcPr>
            <w:tcW w:type="dxa" w:w="3168"/>
            <w:tcMar>
              <w:top w:w="50" w:type="dxa"/>
              <w:bottom w:w="50" w:type="dxa"/>
              <w:left w:w="70" w:type="dxa"/>
              <w:right w:w="70" w:type="dxa"/>
            </w:tcMar>
            <w:shd w:val="clear" w:color="auto" w:fill="EBF3FA"/>
          </w:tcPr>
          <w:p>
            <w:r>
              <w:rPr>
                <w:rFonts w:ascii="Times New Roman" w:hAnsi="Times New Roman"/>
                <w:b/>
                <w:color w:val="0B3D62"/>
                <w:sz w:val="20"/>
              </w:rPr>
              <w:t>6. Medida de Respuesta</w:t>
            </w:r>
          </w:p>
        </w:tc>
        <w:tc>
          <w:tcPr>
            <w:tcW w:type="dxa" w:w="6192"/>
            <w:tcMar>
              <w:top w:w="50" w:type="dxa"/>
              <w:bottom w:w="50" w:type="dxa"/>
              <w:left w:w="70" w:type="dxa"/>
              <w:right w:w="70" w:type="dxa"/>
            </w:tcMar>
            <w:shd w:val="clear" w:color="auto" w:fill="FDFDFD"/>
          </w:tcPr>
          <w:p>
            <w:r>
              <w:rPr>
                <w:rFonts w:ascii="Times New Roman" w:hAnsi="Times New Roman"/>
                <w:color w:val="141414"/>
                <w:sz w:val="20"/>
              </w:rPr>
              <w:t>• 0 reservas pagadas perdidas (cero discrepancias financieras).</w:t>
              <w:br/>
              <w:t>• Confirmación definitiva ≤ 30 minutos tras el restablecimiento del servicio externo.</w:t>
              <w:br/>
              <w:t>• 0 cobros duplicados mediante llaves de idempotencia únicas por reserva.</w:t>
              <w:br/>
              <w:t>• Latencia percibida por el usuario ≤ 1.2 segundos al diferir la transacción.</w:t>
            </w:r>
          </w:p>
        </w:tc>
      </w:tr>
      <w:tr>
        <w:tc>
          <w:tcPr>
            <w:tcW w:type="dxa" w:w="4680"/>
          </w:tcPr>
          <w:p/>
        </w:tc>
        <w:tc>
          <w:tcPr>
            <w:tcW w:type="dxa" w:w="4680"/>
          </w:tcPr>
          <w:p/>
        </w:tc>
      </w:tr>
    </w:tbl>
    <w:p>
      <w:pPr>
        <w:keepNext/>
        <w:spacing w:before="320" w:after="120"/>
        <w:jc w:val="left"/>
      </w:pPr>
      <w:r>
        <w:rPr>
          <w:rFonts w:ascii="Times New Roman" w:hAnsi="Times New Roman"/>
          <w:b/>
          <w:color w:val="0B3D62"/>
          <w:sz w:val="32"/>
        </w:rPr>
        <w:t>4. Paso 3: Iteración ADD 3.0 y Comparación de Alternativas</w:t>
      </w:r>
    </w:p>
    <w:p>
      <w:pPr>
        <w:spacing w:after="120" w:line="276" w:lineRule="auto"/>
        <w:jc w:val="both"/>
      </w:pPr>
      <w:r>
        <w:rPr>
          <w:rFonts w:ascii="Times New Roman" w:hAnsi="Times New Roman"/>
          <w:i w:val="0"/>
          <w:color w:val="141414"/>
          <w:sz w:val="24"/>
        </w:rPr>
        <w:t>El arquitecto responsable estructuró la iteración ADD 3.0 (Cervantes y Kazman, 2016) evaluando dos alternativas conceptuales para resolver la disponibilidad de pagos bajo las restricciones del proyecto:</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3D62"/>
          </w:tcPr>
          <w:p>
            <w:pPr>
              <w:jc w:val="center"/>
            </w:pPr>
            <w:r>
              <w:rPr>
                <w:rFonts w:ascii="Times New Roman" w:hAnsi="Times New Roman"/>
                <w:b/>
                <w:color w:val="FFFFFF"/>
                <w:sz w:val="20"/>
              </w:rPr>
              <w:t>Criterio de Evaluación</w:t>
            </w:r>
          </w:p>
        </w:tc>
        <w:tc>
          <w:tcPr>
            <w:tcW w:type="dxa" w:w="3120"/>
            <w:shd w:val="clear" w:color="auto" w:fill="0B3D62"/>
          </w:tcPr>
          <w:p>
            <w:pPr>
              <w:jc w:val="center"/>
            </w:pPr>
            <w:r>
              <w:rPr>
                <w:rFonts w:ascii="Times New Roman" w:hAnsi="Times New Roman"/>
                <w:b/>
                <w:color w:val="FFFFFF"/>
                <w:sz w:val="20"/>
              </w:rPr>
              <w:t>Alternativa A: Outbox en PostgreSQL + Circuit Breaker (Elegida)</w:t>
            </w:r>
          </w:p>
        </w:tc>
        <w:tc>
          <w:tcPr>
            <w:tcW w:type="dxa" w:w="3120"/>
            <w:shd w:val="clear" w:color="auto" w:fill="0B3D62"/>
          </w:tcPr>
          <w:p>
            <w:pPr>
              <w:jc w:val="center"/>
            </w:pPr>
            <w:r>
              <w:rPr>
                <w:rFonts w:ascii="Times New Roman" w:hAnsi="Times New Roman"/>
                <w:b/>
                <w:color w:val="FFFFFF"/>
                <w:sz w:val="20"/>
              </w:rPr>
              <w:t>Alternativa B: Broker Externo RabbitMQ/Kafka (Descartada)</w:t>
            </w:r>
          </w:p>
        </w:tc>
      </w:tr>
      <w:tr>
        <w:tc>
          <w:tcPr>
            <w:tcW w:type="dxa" w:w="3120"/>
            <w:shd w:val="clear" w:color="auto" w:fill="EBF3FA"/>
            <w:tcMar>
              <w:top w:w="50" w:type="dxa"/>
              <w:bottom w:w="50" w:type="dxa"/>
              <w:left w:w="60" w:type="dxa"/>
              <w:right w:w="60" w:type="dxa"/>
            </w:tcMar>
          </w:tcPr>
          <w:p>
            <w:r>
              <w:rPr>
                <w:rFonts w:ascii="Times New Roman" w:hAnsi="Times New Roman"/>
                <w:color w:val="141414"/>
                <w:sz w:val="19"/>
              </w:rPr>
              <w:t>Tácticas de Calidad (Bass et al., 2021)</w:t>
            </w:r>
          </w:p>
        </w:tc>
        <w:tc>
          <w:tcPr>
            <w:tcW w:type="dxa" w:w="3120"/>
            <w:shd w:val="clear" w:color="auto" w:fill="F0FFF0"/>
            <w:tcMar>
              <w:top w:w="50" w:type="dxa"/>
              <w:bottom w:w="50" w:type="dxa"/>
              <w:left w:w="60" w:type="dxa"/>
              <w:right w:w="60" w:type="dxa"/>
            </w:tcMar>
          </w:tcPr>
          <w:p>
            <w:r>
              <w:rPr>
                <w:rFonts w:ascii="Times New Roman" w:hAnsi="Times New Roman"/>
                <w:color w:val="141414"/>
                <w:sz w:val="19"/>
              </w:rPr>
              <w:t>Detectar: Timeout 3s + Circuit Breaker.</w:t>
              <w:br/>
              <w:t>Recuperar: Reintentos asíncronos programados con Virtual Threads + estado PENDIENTE_PAGO.</w:t>
              <w:br/>
              <w:t>Prevenir: Transacción ACID local en PostgreSQL.</w:t>
            </w:r>
          </w:p>
        </w:tc>
        <w:tc>
          <w:tcPr>
            <w:tcW w:type="dxa" w:w="3120"/>
            <w:shd w:val="clear" w:color="auto" w:fill="FFF5F5"/>
            <w:tcMar>
              <w:top w:w="50" w:type="dxa"/>
              <w:bottom w:w="50" w:type="dxa"/>
              <w:left w:w="60" w:type="dxa"/>
              <w:right w:w="60" w:type="dxa"/>
            </w:tcMar>
          </w:tcPr>
          <w:p>
            <w:r>
              <w:rPr>
                <w:rFonts w:ascii="Times New Roman" w:hAnsi="Times New Roman"/>
                <w:color w:val="141414"/>
                <w:sz w:val="19"/>
              </w:rPr>
              <w:t>Detectar: Heartbeat con el broker.</w:t>
              <w:br/>
              <w:t>Recuperar: Colas con Dead Letter Queue (DLQ).</w:t>
              <w:br/>
              <w:t>Prevenir: Confirmación del productor (Publisher Confirms).</w:t>
            </w:r>
          </w:p>
        </w:tc>
      </w:tr>
      <w:tr>
        <w:tc>
          <w:tcPr>
            <w:tcW w:type="dxa" w:w="3120"/>
            <w:shd w:val="clear" w:color="auto" w:fill="EBF3FA"/>
            <w:tcMar>
              <w:top w:w="50" w:type="dxa"/>
              <w:bottom w:w="50" w:type="dxa"/>
              <w:left w:w="60" w:type="dxa"/>
              <w:right w:w="60" w:type="dxa"/>
            </w:tcMar>
          </w:tcPr>
          <w:p>
            <w:r>
              <w:rPr>
                <w:rFonts w:ascii="Times New Roman" w:hAnsi="Times New Roman"/>
                <w:color w:val="141414"/>
                <w:sz w:val="19"/>
              </w:rPr>
              <w:t>Patrón o Tecnología</w:t>
            </w:r>
          </w:p>
        </w:tc>
        <w:tc>
          <w:tcPr>
            <w:tcW w:type="dxa" w:w="3120"/>
            <w:shd w:val="clear" w:color="auto" w:fill="F0FFF0"/>
            <w:tcMar>
              <w:top w:w="50" w:type="dxa"/>
              <w:bottom w:w="50" w:type="dxa"/>
              <w:left w:w="60" w:type="dxa"/>
              <w:right w:w="60" w:type="dxa"/>
            </w:tcMar>
          </w:tcPr>
          <w:p>
            <w:r>
              <w:rPr>
                <w:rFonts w:ascii="Times New Roman" w:hAnsi="Times New Roman"/>
                <w:color w:val="141414"/>
                <w:sz w:val="19"/>
              </w:rPr>
              <w:t>Transactional Outbox Pattern sobre PostgreSQL 16 con 'SELECT ... FOR UPDATE SKIP LOCKED' + Scheduler en Java 21.</w:t>
            </w:r>
          </w:p>
        </w:tc>
        <w:tc>
          <w:tcPr>
            <w:tcW w:type="dxa" w:w="3120"/>
            <w:shd w:val="clear" w:color="auto" w:fill="FFF5F5"/>
            <w:tcMar>
              <w:top w:w="50" w:type="dxa"/>
              <w:bottom w:w="50" w:type="dxa"/>
              <w:left w:w="60" w:type="dxa"/>
              <w:right w:w="60" w:type="dxa"/>
            </w:tcMar>
          </w:tcPr>
          <w:p>
            <w:r>
              <w:rPr>
                <w:rFonts w:ascii="Times New Roman" w:hAnsi="Times New Roman"/>
                <w:color w:val="141414"/>
                <w:sz w:val="19"/>
              </w:rPr>
              <w:t>Message Broker distribuido externo (RabbitMQ o Kafka) con colas persistentes y consumidores dedicados.</w:t>
            </w:r>
          </w:p>
        </w:tc>
      </w:tr>
      <w:tr>
        <w:tc>
          <w:tcPr>
            <w:tcW w:type="dxa" w:w="3120"/>
            <w:shd w:val="clear" w:color="auto" w:fill="EBF3FA"/>
            <w:tcMar>
              <w:top w:w="50" w:type="dxa"/>
              <w:bottom w:w="50" w:type="dxa"/>
              <w:left w:w="60" w:type="dxa"/>
              <w:right w:w="60" w:type="dxa"/>
            </w:tcMar>
          </w:tcPr>
          <w:p>
            <w:r>
              <w:rPr>
                <w:rFonts w:ascii="Times New Roman" w:hAnsi="Times New Roman"/>
                <w:color w:val="141414"/>
                <w:sz w:val="19"/>
              </w:rPr>
              <w:t>Cumplimiento de la Medida</w:t>
            </w:r>
          </w:p>
        </w:tc>
        <w:tc>
          <w:tcPr>
            <w:tcW w:type="dxa" w:w="3120"/>
            <w:shd w:val="clear" w:color="auto" w:fill="F0FFF0"/>
            <w:tcMar>
              <w:top w:w="50" w:type="dxa"/>
              <w:bottom w:w="50" w:type="dxa"/>
              <w:left w:w="60" w:type="dxa"/>
              <w:right w:w="60" w:type="dxa"/>
            </w:tcMar>
          </w:tcPr>
          <w:p>
            <w:r>
              <w:rPr>
                <w:rFonts w:ascii="Times New Roman" w:hAnsi="Times New Roman"/>
                <w:color w:val="141414"/>
                <w:sz w:val="19"/>
              </w:rPr>
              <w:t>Garantiza 0 pérdidas al persistir la reserva y el outbox en la misma transacción relacional. Reconcilia 200 reservas pendientes en &lt; 2 min tras reconexión.</w:t>
            </w:r>
          </w:p>
        </w:tc>
        <w:tc>
          <w:tcPr>
            <w:tcW w:type="dxa" w:w="3120"/>
            <w:shd w:val="clear" w:color="auto" w:fill="FFF5F5"/>
            <w:tcMar>
              <w:top w:w="50" w:type="dxa"/>
              <w:bottom w:w="50" w:type="dxa"/>
              <w:left w:w="60" w:type="dxa"/>
              <w:right w:w="60" w:type="dxa"/>
            </w:tcMar>
          </w:tcPr>
          <w:p>
            <w:r>
              <w:rPr>
                <w:rFonts w:ascii="Times New Roman" w:hAnsi="Times New Roman"/>
                <w:color w:val="141414"/>
                <w:sz w:val="19"/>
              </w:rPr>
              <w:t>Garantiza 0 pérdidas en la cola del broker, pero sufre el problema de dual-write entre PostgreSQL y el broker si no se usa outbox local igualmente.</w:t>
            </w:r>
          </w:p>
        </w:tc>
      </w:tr>
      <w:tr>
        <w:tc>
          <w:tcPr>
            <w:tcW w:type="dxa" w:w="3120"/>
            <w:shd w:val="clear" w:color="auto" w:fill="EBF3FA"/>
            <w:tcMar>
              <w:top w:w="50" w:type="dxa"/>
              <w:bottom w:w="50" w:type="dxa"/>
              <w:left w:w="60" w:type="dxa"/>
              <w:right w:w="60" w:type="dxa"/>
            </w:tcMar>
          </w:tcPr>
          <w:p>
            <w:r>
              <w:rPr>
                <w:rFonts w:ascii="Times New Roman" w:hAnsi="Times New Roman"/>
                <w:color w:val="141414"/>
                <w:sz w:val="19"/>
              </w:rPr>
              <w:t>Costo (Desarrollo y Operación)</w:t>
            </w:r>
          </w:p>
        </w:tc>
        <w:tc>
          <w:tcPr>
            <w:tcW w:type="dxa" w:w="3120"/>
            <w:shd w:val="clear" w:color="auto" w:fill="F0FFF0"/>
            <w:tcMar>
              <w:top w:w="50" w:type="dxa"/>
              <w:bottom w:w="50" w:type="dxa"/>
              <w:left w:w="60" w:type="dxa"/>
              <w:right w:w="60" w:type="dxa"/>
            </w:tcMar>
          </w:tcPr>
          <w:p>
            <w:r>
              <w:rPr>
                <w:rFonts w:ascii="Times New Roman" w:hAnsi="Times New Roman"/>
                <w:color w:val="141414"/>
                <w:sz w:val="19"/>
              </w:rPr>
              <w:t>Operación: $0 USD/mes adicionales (utiliza el RDS PostgreSQL existente).</w:t>
              <w:br/>
              <w:t>Desarrollo: 1.5 semanas-persona (bajo riesgo).</w:t>
            </w:r>
          </w:p>
        </w:tc>
        <w:tc>
          <w:tcPr>
            <w:tcW w:type="dxa" w:w="3120"/>
            <w:shd w:val="clear" w:color="auto" w:fill="FFF5F5"/>
            <w:tcMar>
              <w:top w:w="50" w:type="dxa"/>
              <w:bottom w:w="50" w:type="dxa"/>
              <w:left w:w="60" w:type="dxa"/>
              <w:right w:w="60" w:type="dxa"/>
            </w:tcMar>
          </w:tcPr>
          <w:p>
            <w:r>
              <w:rPr>
                <w:rFonts w:ascii="Times New Roman" w:hAnsi="Times New Roman"/>
                <w:color w:val="141414"/>
                <w:sz w:val="19"/>
              </w:rPr>
              <w:t>Operación: +$45 a +$120 USD/mes por instancia administrada.</w:t>
              <w:br/>
              <w:t>Desarrollo: 3 a 4 semanas-persona (alto riesgo de desborde).</w:t>
            </w:r>
          </w:p>
        </w:tc>
      </w:tr>
      <w:tr>
        <w:tc>
          <w:tcPr>
            <w:tcW w:type="dxa" w:w="3120"/>
            <w:shd w:val="clear" w:color="auto" w:fill="EBF3FA"/>
            <w:tcMar>
              <w:top w:w="50" w:type="dxa"/>
              <w:bottom w:w="50" w:type="dxa"/>
              <w:left w:w="60" w:type="dxa"/>
              <w:right w:w="60" w:type="dxa"/>
            </w:tcMar>
          </w:tcPr>
          <w:p>
            <w:r>
              <w:rPr>
                <w:rFonts w:ascii="Times New Roman" w:hAnsi="Times New Roman"/>
                <w:color w:val="141414"/>
                <w:sz w:val="19"/>
              </w:rPr>
              <w:t>Riesgos Técnicos</w:t>
            </w:r>
          </w:p>
        </w:tc>
        <w:tc>
          <w:tcPr>
            <w:tcW w:type="dxa" w:w="3120"/>
            <w:shd w:val="clear" w:color="auto" w:fill="F0FFF0"/>
            <w:tcMar>
              <w:top w:w="50" w:type="dxa"/>
              <w:bottom w:w="50" w:type="dxa"/>
              <w:left w:w="60" w:type="dxa"/>
              <w:right w:w="60" w:type="dxa"/>
            </w:tcMar>
          </w:tcPr>
          <w:p>
            <w:r>
              <w:rPr>
                <w:rFonts w:ascii="Times New Roman" w:hAnsi="Times New Roman"/>
                <w:color w:val="141414"/>
                <w:sz w:val="19"/>
              </w:rPr>
              <w:t>Contención en tabla outbox si crece descontroladamente.</w:t>
              <w:br/>
              <w:t>Mitigación: Índice parcial y cláusula SKIP LOCKED + job de purga mensual.</w:t>
            </w:r>
          </w:p>
        </w:tc>
        <w:tc>
          <w:tcPr>
            <w:tcW w:type="dxa" w:w="3120"/>
            <w:shd w:val="clear" w:color="auto" w:fill="FFF5F5"/>
            <w:tcMar>
              <w:top w:w="50" w:type="dxa"/>
              <w:bottom w:w="50" w:type="dxa"/>
              <w:left w:w="60" w:type="dxa"/>
              <w:right w:w="60" w:type="dxa"/>
            </w:tcMar>
          </w:tcPr>
          <w:p>
            <w:r>
              <w:rPr>
                <w:rFonts w:ascii="Times New Roman" w:hAnsi="Times New Roman"/>
                <w:color w:val="141414"/>
                <w:sz w:val="19"/>
              </w:rPr>
              <w:t>Mayor superficie de ataque, fallas de red entre API y broker, sobrecarga de monitoreo para 4 desarrolladores.</w:t>
            </w:r>
          </w:p>
        </w:tc>
      </w:tr>
      <w:tr>
        <w:tc>
          <w:tcPr>
            <w:tcW w:type="dxa" w:w="3120"/>
            <w:shd w:val="clear" w:color="auto" w:fill="EBF3FA"/>
            <w:tcMar>
              <w:top w:w="50" w:type="dxa"/>
              <w:bottom w:w="50" w:type="dxa"/>
              <w:left w:w="60" w:type="dxa"/>
              <w:right w:w="60" w:type="dxa"/>
            </w:tcMar>
          </w:tcPr>
          <w:p>
            <w:r>
              <w:rPr>
                <w:rFonts w:ascii="Times New Roman" w:hAnsi="Times New Roman"/>
                <w:color w:val="141414"/>
                <w:sz w:val="19"/>
              </w:rPr>
              <w:t>Cumplimiento de Restricciones</w:t>
            </w:r>
          </w:p>
        </w:tc>
        <w:tc>
          <w:tcPr>
            <w:tcW w:type="dxa" w:w="3120"/>
            <w:shd w:val="clear" w:color="auto" w:fill="F0FFF0"/>
            <w:tcMar>
              <w:top w:w="50" w:type="dxa"/>
              <w:bottom w:w="50" w:type="dxa"/>
              <w:left w:w="60" w:type="dxa"/>
              <w:right w:w="60" w:type="dxa"/>
            </w:tcMar>
          </w:tcPr>
          <w:p>
            <w:r>
              <w:rPr>
                <w:rFonts w:ascii="Times New Roman" w:hAnsi="Times New Roman"/>
                <w:color w:val="141414"/>
                <w:sz w:val="19"/>
              </w:rPr>
              <w:t>SÍ: Preserva el Monolito Modular (ADR-001), plazo ≤ 3 semanas y cero sobrecosto.</w:t>
            </w:r>
          </w:p>
        </w:tc>
        <w:tc>
          <w:tcPr>
            <w:tcW w:type="dxa" w:w="3120"/>
            <w:shd w:val="clear" w:color="auto" w:fill="FFF5F5"/>
            <w:tcMar>
              <w:top w:w="50" w:type="dxa"/>
              <w:bottom w:w="50" w:type="dxa"/>
              <w:left w:w="60" w:type="dxa"/>
              <w:right w:w="60" w:type="dxa"/>
            </w:tcMar>
          </w:tcPr>
          <w:p>
            <w:r>
              <w:rPr>
                <w:rFonts w:ascii="Times New Roman" w:hAnsi="Times New Roman"/>
                <w:color w:val="141414"/>
                <w:sz w:val="19"/>
              </w:rPr>
              <w:t>NO: Introduce microservicios/infraestructura distribuida innecesaria y excede presupuesto.</w:t>
            </w:r>
          </w:p>
        </w:tc>
      </w:tr>
    </w:tbl>
    <w:p>
      <w:pPr>
        <w:keepNext/>
        <w:spacing w:before="320" w:after="120"/>
        <w:jc w:val="left"/>
      </w:pPr>
      <w:r>
        <w:rPr>
          <w:rFonts w:ascii="Times New Roman" w:hAnsi="Times New Roman"/>
          <w:b/>
          <w:color w:val="0B3D62"/>
          <w:sz w:val="32"/>
        </w:rPr>
        <w:t>5. Paso 4: Registro de Decisión Arquitectónica (ADR-003)</w:t>
      </w:r>
    </w:p>
    <w:p>
      <w:pPr>
        <w:spacing w:after="120" w:line="276" w:lineRule="auto"/>
        <w:jc w:val="both"/>
      </w:pPr>
      <w:r>
        <w:rPr>
          <w:rFonts w:ascii="Times New Roman" w:hAnsi="Times New Roman"/>
          <w:b/>
          <w:color w:val="141414"/>
          <w:sz w:val="24"/>
        </w:rPr>
        <w:t xml:space="preserve">Síntesis del ADR-003: </w:t>
      </w:r>
      <w:r>
        <w:rPr>
          <w:rFonts w:ascii="Times New Roman" w:hAnsi="Times New Roman"/>
          <w:i w:val="0"/>
          <w:color w:val="141414"/>
          <w:sz w:val="24"/>
        </w:rPr>
        <w:t>La decisión consensuada fue documentada en formato formal Nygard bajo el identificador ADR-003, asegurando la trazabilidad del diseño:</w:t>
      </w:r>
    </w:p>
    <w:p>
      <w:pPr>
        <w:spacing w:after="120" w:line="276" w:lineRule="auto"/>
        <w:jc w:val="both"/>
      </w:pPr>
      <w:r>
        <w:rPr>
          <w:rFonts w:ascii="Times New Roman" w:hAnsi="Times New Roman"/>
          <w:i w:val="0"/>
          <w:color w:val="141414"/>
          <w:sz w:val="24"/>
        </w:rPr>
        <w:t>• Título: ADR-003: Resiliencia de Pagos en Temporada Alta mediante Transactional Outbox y Circuit Breaker.</w:t>
      </w:r>
    </w:p>
    <w:p>
      <w:pPr>
        <w:spacing w:after="120" w:line="276" w:lineRule="auto"/>
        <w:jc w:val="both"/>
      </w:pPr>
      <w:r>
        <w:rPr>
          <w:rFonts w:ascii="Times New Roman" w:hAnsi="Times New Roman"/>
          <w:i w:val="0"/>
          <w:color w:val="141414"/>
          <w:sz w:val="24"/>
        </w:rPr>
        <w:t>• Estado: Aceptado · Fecha: 28/10/2026 · Escenario: E2 (Disponibilidad).</w:t>
      </w:r>
    </w:p>
    <w:p>
      <w:pPr>
        <w:spacing w:after="120" w:line="276" w:lineRule="auto"/>
        <w:jc w:val="both"/>
      </w:pPr>
      <w:r>
        <w:rPr>
          <w:rFonts w:ascii="Times New Roman" w:hAnsi="Times New Roman"/>
          <w:i w:val="0"/>
          <w:color w:val="141414"/>
          <w:sz w:val="24"/>
        </w:rPr>
        <w:t>• Decisión: Implementar la Alternativa A. Se crea la tabla 'pagos_outbox' en PostgreSQL 16. Ante caídas de la pasarela detectadas por el Circuit Breaker (timeout 3s), la reserva se persiste en estado PENDIENTE_PAGO de forma atómica con la orden en el outbox. El OutboxRelayWorker reconcilia automáticamente los pagos pendientes cuando la pasarela se restablece.</w:t>
      </w:r>
    </w:p>
    <w:p>
      <w:pPr>
        <w:spacing w:after="120" w:line="276" w:lineRule="auto"/>
        <w:jc w:val="both"/>
      </w:pPr>
      <w:r>
        <w:rPr>
          <w:rFonts w:ascii="Times New Roman" w:hAnsi="Times New Roman"/>
          <w:i w:val="0"/>
          <w:color w:val="141414"/>
          <w:sz w:val="24"/>
        </w:rPr>
        <w:t>• Consecuencias Positivas: 0 reservas pagadas perdidas, cero inversión en nueva infraestructura ($0/mes), tiempo de recuperación &lt; 5 minutos y desacoplamiento temporal sin romper el monolito modular.</w:t>
      </w:r>
    </w:p>
    <w:p>
      <w:pPr>
        <w:spacing w:after="120" w:line="276" w:lineRule="auto"/>
        <w:jc w:val="both"/>
      </w:pPr>
      <w:r>
        <w:rPr>
          <w:rFonts w:ascii="Times New Roman" w:hAnsi="Times New Roman"/>
          <w:i w:val="0"/>
          <w:color w:val="141414"/>
          <w:sz w:val="24"/>
        </w:rPr>
        <w:t>• Compromisos (Trade-offs): Introduce consistencia eventual en la experiencia del turista, mitigada mediante notificaciones transparentes en la UI y el envío posterior de vouchers por WhatsApp.</w:t>
      </w:r>
    </w:p>
    <w:p>
      <w:pPr>
        <w:keepNext/>
        <w:spacing w:before="320" w:after="120"/>
        <w:jc w:val="left"/>
      </w:pPr>
      <w:r>
        <w:rPr>
          <w:rFonts w:ascii="Times New Roman" w:hAnsi="Times New Roman"/>
          <w:b/>
          <w:color w:val="0B3D62"/>
          <w:sz w:val="32"/>
        </w:rPr>
        <w:t>6. Paso 5: Evaluación Cruzada con ATAM Ligero (Escenario E3 - Seguridad)</w:t>
      </w:r>
    </w:p>
    <w:p>
      <w:pPr>
        <w:spacing w:after="120" w:line="276" w:lineRule="auto"/>
        <w:jc w:val="both"/>
      </w:pPr>
      <w:r>
        <w:rPr>
          <w:rFonts w:ascii="Times New Roman" w:hAnsi="Times New Roman"/>
          <w:i w:val="0"/>
          <w:color w:val="141414"/>
          <w:sz w:val="24"/>
        </w:rPr>
        <w:t>El evaluador ATAM del equipo condujo la revisión cruzada del diseño del grupo a cargo del Escenario E3: Seguridad (operador intenta modificar un tour de otra agencia). Se identificaron los siguientes hallazgos arquitectónicos: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3D62"/>
          </w:tcPr>
          <w:p>
            <w:pPr>
              <w:jc w:val="center"/>
            </w:pPr>
            <w:r>
              <w:rPr>
                <w:rFonts w:ascii="Times New Roman" w:hAnsi="Times New Roman"/>
                <w:b/>
                <w:color w:val="FFFFFF"/>
                <w:sz w:val="20"/>
              </w:rPr>
              <w:t>Tipo de Hallazgo</w:t>
            </w:r>
          </w:p>
        </w:tc>
        <w:tc>
          <w:tcPr>
            <w:tcW w:type="dxa" w:w="2340"/>
            <w:shd w:val="clear" w:color="auto" w:fill="0B3D62"/>
          </w:tcPr>
          <w:p>
            <w:pPr>
              <w:jc w:val="center"/>
            </w:pPr>
            <w:r>
              <w:rPr>
                <w:rFonts w:ascii="Times New Roman" w:hAnsi="Times New Roman"/>
                <w:b/>
                <w:color w:val="FFFFFF"/>
                <w:sz w:val="20"/>
              </w:rPr>
              <w:t>Definición Teórica</w:t>
            </w:r>
          </w:p>
        </w:tc>
        <w:tc>
          <w:tcPr>
            <w:tcW w:type="dxa" w:w="2340"/>
            <w:shd w:val="clear" w:color="auto" w:fill="0B3D62"/>
          </w:tcPr>
          <w:p>
            <w:pPr>
              <w:jc w:val="center"/>
            </w:pPr>
            <w:r>
              <w:rPr>
                <w:rFonts w:ascii="Times New Roman" w:hAnsi="Times New Roman"/>
                <w:b/>
                <w:color w:val="FFFFFF"/>
                <w:sz w:val="20"/>
              </w:rPr>
              <w:t>Hallazgo en el Diseño de Seguridad (E3)</w:t>
            </w:r>
          </w:p>
        </w:tc>
        <w:tc>
          <w:tcPr>
            <w:tcW w:type="dxa" w:w="2340"/>
            <w:shd w:val="clear" w:color="auto" w:fill="0B3D62"/>
          </w:tcPr>
          <w:p>
            <w:pPr>
              <w:jc w:val="center"/>
            </w:pPr>
            <w:r>
              <w:rPr>
                <w:rFonts w:ascii="Times New Roman" w:hAnsi="Times New Roman"/>
                <w:b/>
                <w:color w:val="FFFFFF"/>
                <w:sz w:val="20"/>
              </w:rPr>
              <w:t>Escenario Afectado</w:t>
            </w:r>
          </w:p>
        </w:tc>
      </w:tr>
      <w:tr>
        <w:tc>
          <w:tcPr>
            <w:tcW w:type="dxa" w:w="2340"/>
            <w:shd w:val="clear" w:color="auto" w:fill="FFF5F5"/>
            <w:tcMar>
              <w:top w:w="50" w:type="dxa"/>
              <w:bottom w:w="50" w:type="dxa"/>
              <w:left w:w="60" w:type="dxa"/>
              <w:right w:w="60" w:type="dxa"/>
            </w:tcMar>
          </w:tcPr>
          <w:p>
            <w:r>
              <w:rPr>
                <w:rFonts w:ascii="Times New Roman" w:hAnsi="Times New Roman"/>
                <w:color w:val="141414"/>
                <w:sz w:val="19"/>
              </w:rPr>
              <w:t>Riesgo Crítico</w:t>
            </w:r>
          </w:p>
        </w:tc>
        <w:tc>
          <w:tcPr>
            <w:tcW w:type="dxa" w:w="2340"/>
            <w:shd w:val="clear" w:color="auto" w:fill="FFF5F5"/>
            <w:tcMar>
              <w:top w:w="50" w:type="dxa"/>
              <w:bottom w:w="50" w:type="dxa"/>
              <w:left w:w="60" w:type="dxa"/>
              <w:right w:w="60" w:type="dxa"/>
            </w:tcMar>
          </w:tcPr>
          <w:p>
            <w:r>
              <w:rPr>
                <w:rFonts w:ascii="Times New Roman" w:hAnsi="Times New Roman"/>
                <w:color w:val="141414"/>
                <w:sz w:val="19"/>
              </w:rPr>
              <w:t>Decisión que puede impedir cumplir un escenario.</w:t>
            </w:r>
          </w:p>
        </w:tc>
        <w:tc>
          <w:tcPr>
            <w:tcW w:type="dxa" w:w="2340"/>
            <w:shd w:val="clear" w:color="auto" w:fill="FFF5F5"/>
            <w:tcMar>
              <w:top w:w="50" w:type="dxa"/>
              <w:bottom w:w="50" w:type="dxa"/>
              <w:left w:w="60" w:type="dxa"/>
              <w:right w:w="60" w:type="dxa"/>
            </w:tcMar>
          </w:tcPr>
          <w:p>
            <w:r>
              <w:rPr>
                <w:rFonts w:ascii="Times New Roman" w:hAnsi="Times New Roman"/>
                <w:color w:val="141414"/>
                <w:sz w:val="19"/>
              </w:rPr>
              <w:t>Vulnerabilidad BOLA (OWASP API 1): Si la autorización solo se verifica a nivel de Controller/URL por rol OPERADOR, un operador puede alterar el {tourId} ajeno en el payload.</w:t>
            </w:r>
          </w:p>
        </w:tc>
        <w:tc>
          <w:tcPr>
            <w:tcW w:type="dxa" w:w="2340"/>
            <w:shd w:val="clear" w:color="auto" w:fill="FFF5F5"/>
            <w:tcMar>
              <w:top w:w="50" w:type="dxa"/>
              <w:bottom w:w="50" w:type="dxa"/>
              <w:left w:w="60" w:type="dxa"/>
              <w:right w:w="60" w:type="dxa"/>
            </w:tcMar>
          </w:tcPr>
          <w:p>
            <w:r>
              <w:rPr>
                <w:rFonts w:ascii="Times New Roman" w:hAnsi="Times New Roman"/>
                <w:color w:val="141414"/>
                <w:sz w:val="19"/>
              </w:rPr>
              <w:t>E3 (Seguridad)</w:t>
            </w:r>
          </w:p>
        </w:tc>
      </w:tr>
      <w:tr>
        <w:tc>
          <w:tcPr>
            <w:tcW w:type="dxa" w:w="2340"/>
            <w:shd w:val="clear" w:color="auto" w:fill="FFFDF0"/>
            <w:tcMar>
              <w:top w:w="50" w:type="dxa"/>
              <w:bottom w:w="50" w:type="dxa"/>
              <w:left w:w="60" w:type="dxa"/>
              <w:right w:w="60" w:type="dxa"/>
            </w:tcMar>
          </w:tcPr>
          <w:p>
            <w:r>
              <w:rPr>
                <w:rFonts w:ascii="Times New Roman" w:hAnsi="Times New Roman"/>
                <w:color w:val="141414"/>
                <w:sz w:val="19"/>
              </w:rPr>
              <w:t>Punto de Sensibilidad</w:t>
            </w:r>
          </w:p>
        </w:tc>
        <w:tc>
          <w:tcPr>
            <w:tcW w:type="dxa" w:w="2340"/>
            <w:shd w:val="clear" w:color="auto" w:fill="FFFDF0"/>
            <w:tcMar>
              <w:top w:w="50" w:type="dxa"/>
              <w:bottom w:w="50" w:type="dxa"/>
              <w:left w:w="60" w:type="dxa"/>
              <w:right w:w="60" w:type="dxa"/>
            </w:tcMar>
          </w:tcPr>
          <w:p>
            <w:r>
              <w:rPr>
                <w:rFonts w:ascii="Times New Roman" w:hAnsi="Times New Roman"/>
                <w:color w:val="141414"/>
                <w:sz w:val="19"/>
              </w:rPr>
              <w:t>Parámetro del que depende fuertemente una medida.</w:t>
            </w:r>
          </w:p>
        </w:tc>
        <w:tc>
          <w:tcPr>
            <w:tcW w:type="dxa" w:w="2340"/>
            <w:shd w:val="clear" w:color="auto" w:fill="FFFDF0"/>
            <w:tcMar>
              <w:top w:w="50" w:type="dxa"/>
              <w:bottom w:w="50" w:type="dxa"/>
              <w:left w:w="60" w:type="dxa"/>
              <w:right w:w="60" w:type="dxa"/>
            </w:tcMar>
          </w:tcPr>
          <w:p>
            <w:r>
              <w:rPr>
                <w:rFonts w:ascii="Times New Roman" w:hAnsi="Times New Roman"/>
                <w:color w:val="141414"/>
                <w:sz w:val="19"/>
              </w:rPr>
              <w:t>TTL del JWT e Indexación de Titularidad: La consulta 'WHERE tour_id = ? AND agencia_id = ?' debe ejecutarse en &lt; 10 ms para no degradar el p95.</w:t>
            </w:r>
          </w:p>
        </w:tc>
        <w:tc>
          <w:tcPr>
            <w:tcW w:type="dxa" w:w="2340"/>
            <w:shd w:val="clear" w:color="auto" w:fill="FFFDF0"/>
            <w:tcMar>
              <w:top w:w="50" w:type="dxa"/>
              <w:bottom w:w="50" w:type="dxa"/>
              <w:left w:w="60" w:type="dxa"/>
              <w:right w:w="60" w:type="dxa"/>
            </w:tcMar>
          </w:tcPr>
          <w:p>
            <w:r>
              <w:rPr>
                <w:rFonts w:ascii="Times New Roman" w:hAnsi="Times New Roman"/>
                <w:color w:val="141414"/>
                <w:sz w:val="19"/>
              </w:rPr>
              <w:t>E1 (Rendimiento)</w:t>
            </w:r>
          </w:p>
        </w:tc>
      </w:tr>
      <w:tr>
        <w:tc>
          <w:tcPr>
            <w:tcW w:type="dxa" w:w="2340"/>
            <w:shd w:val="clear" w:color="auto" w:fill="F0F7FF"/>
            <w:tcMar>
              <w:top w:w="50" w:type="dxa"/>
              <w:bottom w:w="50" w:type="dxa"/>
              <w:left w:w="60" w:type="dxa"/>
              <w:right w:w="60" w:type="dxa"/>
            </w:tcMar>
          </w:tcPr>
          <w:p>
            <w:r>
              <w:rPr>
                <w:rFonts w:ascii="Times New Roman" w:hAnsi="Times New Roman"/>
                <w:color w:val="141414"/>
                <w:sz w:val="19"/>
              </w:rPr>
              <w:t>Trade-off de Arquitectura</w:t>
            </w:r>
          </w:p>
        </w:tc>
        <w:tc>
          <w:tcPr>
            <w:tcW w:type="dxa" w:w="2340"/>
            <w:shd w:val="clear" w:color="auto" w:fill="F0F7FF"/>
            <w:tcMar>
              <w:top w:w="50" w:type="dxa"/>
              <w:bottom w:w="50" w:type="dxa"/>
              <w:left w:w="60" w:type="dxa"/>
              <w:right w:w="60" w:type="dxa"/>
            </w:tcMar>
          </w:tcPr>
          <w:p>
            <w:r>
              <w:rPr>
                <w:rFonts w:ascii="Times New Roman" w:hAnsi="Times New Roman"/>
                <w:color w:val="141414"/>
                <w:sz w:val="19"/>
              </w:rPr>
              <w:t>Decisión que beneficia un atributo pero perjudica otro.</w:t>
            </w:r>
          </w:p>
        </w:tc>
        <w:tc>
          <w:tcPr>
            <w:tcW w:type="dxa" w:w="2340"/>
            <w:shd w:val="clear" w:color="auto" w:fill="F0F7FF"/>
            <w:tcMar>
              <w:top w:w="50" w:type="dxa"/>
              <w:bottom w:w="50" w:type="dxa"/>
              <w:left w:w="60" w:type="dxa"/>
              <w:right w:w="60" w:type="dxa"/>
            </w:tcMar>
          </w:tcPr>
          <w:p>
            <w:r>
              <w:rPr>
                <w:rFonts w:ascii="Times New Roman" w:hAnsi="Times New Roman"/>
                <w:color w:val="141414"/>
                <w:sz w:val="19"/>
              </w:rPr>
              <w:t>Seguridad vs. Rendimiento: Insertar registros de auditoría síncronos en PostgreSQL garantiza 100% de trazabilidad pero degrada la latencia bajo ataques de fuerza bruta. Mitigación: Auditoría asíncrona (@Async).</w:t>
            </w:r>
          </w:p>
        </w:tc>
        <w:tc>
          <w:tcPr>
            <w:tcW w:type="dxa" w:w="2340"/>
            <w:shd w:val="clear" w:color="auto" w:fill="F0F7FF"/>
            <w:tcMar>
              <w:top w:w="50" w:type="dxa"/>
              <w:bottom w:w="50" w:type="dxa"/>
              <w:left w:w="60" w:type="dxa"/>
              <w:right w:w="60" w:type="dxa"/>
            </w:tcMar>
          </w:tcPr>
          <w:p>
            <w:r>
              <w:rPr>
                <w:rFonts w:ascii="Times New Roman" w:hAnsi="Times New Roman"/>
                <w:color w:val="141414"/>
                <w:sz w:val="19"/>
              </w:rPr>
              <w:t>E3 (Seguridad) ↔ E1 (Rendimiento)</w:t>
            </w:r>
          </w:p>
        </w:tc>
      </w:tr>
    </w:tbl>
    <w:p>
      <w:pPr>
        <w:keepNext/>
        <w:spacing w:before="320" w:after="120"/>
        <w:jc w:val="left"/>
      </w:pPr>
      <w:r>
        <w:rPr>
          <w:rFonts w:ascii="Times New Roman" w:hAnsi="Times New Roman"/>
          <w:b/>
          <w:color w:val="0B3D62"/>
          <w:sz w:val="32"/>
        </w:rPr>
        <w:t>7. Paso 6: Actualización del Modelo C4 y Vista Dinámica (Parte B)</w:t>
      </w:r>
    </w:p>
    <w:p>
      <w:pPr>
        <w:spacing w:after="120" w:line="276" w:lineRule="auto"/>
        <w:jc w:val="both"/>
      </w:pPr>
      <w:r>
        <w:rPr>
          <w:rFonts w:ascii="Times New Roman" w:hAnsi="Times New Roman"/>
          <w:i w:val="0"/>
          <w:color w:val="141414"/>
          <w:sz w:val="24"/>
        </w:rPr>
        <w:t>Se actualizó el modelo arquitectónico formal en Structurizr DSL (`workspace.dsl`) incorporando las decisiones del ADR-003: el contenedor `apiBackend` orquesta el Outbox Worker y la `baseDatos` aloja la tabla `pagos_outbox`. Se definió una nueva vista dinámica (`DinamicoPagosResiliente`) que modela paso a paso la absorción del corte externo de 15 minutos y la posterior reconciliación.</w:t>
      </w:r>
    </w:p>
    <w:p>
      <w:pPr>
        <w:spacing w:before="160" w:after="80"/>
        <w:jc w:val="center"/>
      </w:pPr>
      <w:r>
        <w:drawing>
          <wp:inline xmlns:a="http://schemas.openxmlformats.org/drawingml/2006/main" xmlns:pic="http://schemas.openxmlformats.org/drawingml/2006/picture">
            <wp:extent cx="5669280" cy="4401930"/>
            <wp:docPr id="1" name="Picture 1"/>
            <wp:cNvGraphicFramePr>
              <a:graphicFrameLocks noChangeAspect="1"/>
            </wp:cNvGraphicFramePr>
            <a:graphic>
              <a:graphicData uri="http://schemas.openxmlformats.org/drawingml/2006/picture">
                <pic:pic>
                  <pic:nvPicPr>
                    <pic:cNvPr id="0" name="structurizr-DinamicoPagosResiliente.png"/>
                    <pic:cNvPicPr/>
                  </pic:nvPicPr>
                  <pic:blipFill>
                    <a:blip r:embed="rId10"/>
                    <a:stretch>
                      <a:fillRect/>
                    </a:stretch>
                  </pic:blipFill>
                  <pic:spPr>
                    <a:xfrm>
                      <a:off x="0" y="0"/>
                      <a:ext cx="5669280" cy="4401930"/>
                    </a:xfrm>
                    <a:prstGeom prst="rect"/>
                  </pic:spPr>
                </pic:pic>
              </a:graphicData>
            </a:graphic>
          </wp:inline>
        </w:drawing>
      </w:r>
    </w:p>
    <w:p>
      <w:pPr>
        <w:spacing w:after="240"/>
        <w:jc w:val="center"/>
      </w:pPr>
      <w:r>
        <w:rPr>
          <w:rFonts w:ascii="Times New Roman" w:hAnsi="Times New Roman"/>
          <w:i/>
          <w:color w:val="505050"/>
          <w:sz w:val="19"/>
        </w:rPr>
        <w:t>Figura 1. Vista Dinámica C4: Resiliencia de Pagos ante Caída de Pasarela por 15 min (Escenario E2 / ADR-003).</w:t>
      </w:r>
    </w:p>
    <w:p>
      <w:pPr>
        <w:keepNext/>
        <w:spacing w:before="240" w:after="80"/>
        <w:jc w:val="left"/>
      </w:pPr>
      <w:r>
        <w:rPr>
          <w:rFonts w:ascii="Times New Roman" w:hAnsi="Times New Roman"/>
          <w:b/>
          <w:color w:val="1B5E8B"/>
          <w:sz w:val="27"/>
        </w:rPr>
        <w:t>Rutas de Ubicación y Enlaces de Diagramas en el Repositorio</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3D62"/>
          </w:tcPr>
          <w:p>
            <w:pPr>
              <w:jc w:val="center"/>
            </w:pPr>
            <w:r>
              <w:rPr>
                <w:rFonts w:ascii="Times New Roman" w:hAnsi="Times New Roman"/>
                <w:b/>
                <w:color w:val="FFFFFF"/>
                <w:sz w:val="19"/>
              </w:rPr>
              <w:t>Diagrama C4</w:t>
            </w:r>
          </w:p>
        </w:tc>
        <w:tc>
          <w:tcPr>
            <w:tcW w:type="dxa" w:w="2340"/>
            <w:shd w:val="clear" w:color="auto" w:fill="0B3D62"/>
          </w:tcPr>
          <w:p>
            <w:pPr>
              <w:jc w:val="center"/>
            </w:pPr>
            <w:r>
              <w:rPr>
                <w:rFonts w:ascii="Times New Roman" w:hAnsi="Times New Roman"/>
                <w:b/>
                <w:color w:val="FFFFFF"/>
                <w:sz w:val="19"/>
              </w:rPr>
              <w:t>Propósito Arquitectónico</w:t>
            </w:r>
          </w:p>
        </w:tc>
        <w:tc>
          <w:tcPr>
            <w:tcW w:type="dxa" w:w="2340"/>
            <w:shd w:val="clear" w:color="auto" w:fill="0B3D62"/>
          </w:tcPr>
          <w:p>
            <w:pPr>
              <w:jc w:val="center"/>
            </w:pPr>
            <w:r>
              <w:rPr>
                <w:rFonts w:ascii="Times New Roman" w:hAnsi="Times New Roman"/>
                <w:b/>
                <w:color w:val="FFFFFF"/>
                <w:sz w:val="19"/>
              </w:rPr>
              <w:t>Ruta en Repositorio Local</w:t>
            </w:r>
          </w:p>
        </w:tc>
        <w:tc>
          <w:tcPr>
            <w:tcW w:type="dxa" w:w="2340"/>
            <w:shd w:val="clear" w:color="auto" w:fill="0B3D62"/>
          </w:tcPr>
          <w:p>
            <w:pPr>
              <w:jc w:val="center"/>
            </w:pPr>
            <w:r>
              <w:rPr>
                <w:rFonts w:ascii="Times New Roman" w:hAnsi="Times New Roman"/>
                <w:b/>
                <w:color w:val="FFFFFF"/>
                <w:sz w:val="19"/>
              </w:rPr>
              <w:t>Enlace Permanente en GitHub</w:t>
            </w:r>
          </w:p>
        </w:tc>
      </w:tr>
      <w:tr>
        <w:tc>
          <w:tcPr>
            <w:tcW w:type="dxa" w:w="2340"/>
            <w:shd w:val="clear" w:color="auto" w:fill="FFFFFF"/>
            <w:tcMar>
              <w:top w:w="40" w:type="dxa"/>
              <w:bottom w:w="40" w:type="dxa"/>
              <w:left w:w="50" w:type="dxa"/>
              <w:right w:w="50" w:type="dxa"/>
            </w:tcMar>
          </w:tcPr>
          <w:p>
            <w:r>
              <w:rPr>
                <w:rFonts w:ascii="Times New Roman" w:hAnsi="Times New Roman"/>
                <w:color w:val="141414"/>
                <w:sz w:val="17"/>
              </w:rPr>
              <w:t>Vista Dinámica E2 (ADR-003)</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Modelado del flujo de pagos resiliente ante caída de 15 min</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docs/architecture/c4/ruta-colca/export/structurizr-DinamicoPagosResiliente.png</w:t>
            </w:r>
          </w:p>
        </w:tc>
        <w:tc>
          <w:tcPr>
            <w:tcW w:type="dxa" w:w="2340"/>
            <w:shd w:val="clear" w:color="auto" w:fill="FFFFFF"/>
            <w:tcMar>
              <w:top w:w="40" w:type="dxa"/>
              <w:bottom w:w="40" w:type="dxa"/>
              <w:left w:w="50" w:type="dxa"/>
              <w:right w:w="50" w:type="dxa"/>
            </w:tcMar>
          </w:tcPr>
          <w:p>
            <w:r>
              <w:rPr>
                <w:rFonts w:ascii="Times New Roman" w:hAnsi="Times New Roman"/>
                <w:color w:val="125AA0"/>
                <w:sz w:val="17"/>
              </w:rPr>
              <w:t>https://github.com/leonardobaca7/rutaColca_C4/blob/main/docs/architecture/c4/ruta-colca/export/structurizr-DinamicoPagosResiliente.png</w:t>
            </w:r>
          </w:p>
        </w:tc>
      </w:tr>
      <w:tr>
        <w:tc>
          <w:tcPr>
            <w:tcW w:type="dxa" w:w="2340"/>
            <w:shd w:val="clear" w:color="auto" w:fill="F9FBFD"/>
            <w:tcMar>
              <w:top w:w="40" w:type="dxa"/>
              <w:bottom w:w="40" w:type="dxa"/>
              <w:left w:w="50" w:type="dxa"/>
              <w:right w:w="50" w:type="dxa"/>
            </w:tcMar>
          </w:tcPr>
          <w:p>
            <w:r>
              <w:rPr>
                <w:rFonts w:ascii="Times New Roman" w:hAnsi="Times New Roman"/>
                <w:color w:val="141414"/>
                <w:sz w:val="17"/>
              </w:rPr>
              <w:t>Vista de Contenedores Reto</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Arquitectura de contenedores con soporte offline y outbox</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docs/architecture/c4/ruta-colca/export/structurizr-ContenedoresReto.png</w:t>
            </w:r>
          </w:p>
        </w:tc>
        <w:tc>
          <w:tcPr>
            <w:tcW w:type="dxa" w:w="2340"/>
            <w:shd w:val="clear" w:color="auto" w:fill="F9FBFD"/>
            <w:tcMar>
              <w:top w:w="40" w:type="dxa"/>
              <w:bottom w:w="40" w:type="dxa"/>
              <w:left w:w="50" w:type="dxa"/>
              <w:right w:w="50" w:type="dxa"/>
            </w:tcMar>
          </w:tcPr>
          <w:p>
            <w:r>
              <w:rPr>
                <w:rFonts w:ascii="Times New Roman" w:hAnsi="Times New Roman"/>
                <w:color w:val="125AA0"/>
                <w:sz w:val="17"/>
              </w:rPr>
              <w:t>https://github.com/leonardobaca7/rutaColca_C4/blob/main/docs/architecture/c4/ruta-colca/export/structurizr-ContenedoresReto.png</w:t>
            </w:r>
          </w:p>
        </w:tc>
      </w:tr>
      <w:tr>
        <w:tc>
          <w:tcPr>
            <w:tcW w:type="dxa" w:w="2340"/>
            <w:shd w:val="clear" w:color="auto" w:fill="FFFFFF"/>
            <w:tcMar>
              <w:top w:w="40" w:type="dxa"/>
              <w:bottom w:w="40" w:type="dxa"/>
              <w:left w:w="50" w:type="dxa"/>
              <w:right w:w="50" w:type="dxa"/>
            </w:tcMar>
          </w:tcPr>
          <w:p>
            <w:r>
              <w:rPr>
                <w:rFonts w:ascii="Times New Roman" w:hAnsi="Times New Roman"/>
                <w:color w:val="141414"/>
                <w:sz w:val="17"/>
              </w:rPr>
              <w:t>Vista de Contexto C4</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Delimitación perimetral y actores del sistema RutaColca</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docs/architecture/c4/ruta-colca/export/structurizr-Contexto.png</w:t>
            </w:r>
          </w:p>
        </w:tc>
        <w:tc>
          <w:tcPr>
            <w:tcW w:type="dxa" w:w="2340"/>
            <w:shd w:val="clear" w:color="auto" w:fill="FFFFFF"/>
            <w:tcMar>
              <w:top w:w="40" w:type="dxa"/>
              <w:bottom w:w="40" w:type="dxa"/>
              <w:left w:w="50" w:type="dxa"/>
              <w:right w:w="50" w:type="dxa"/>
            </w:tcMar>
          </w:tcPr>
          <w:p>
            <w:r>
              <w:rPr>
                <w:rFonts w:ascii="Times New Roman" w:hAnsi="Times New Roman"/>
                <w:color w:val="125AA0"/>
                <w:sz w:val="17"/>
              </w:rPr>
              <w:t>https://github.com/leonardobaca7/rutaColca_C4/blob/main/docs/architecture/c4/ruta-colca/export/structurizr-Contexto.png</w:t>
            </w:r>
          </w:p>
        </w:tc>
      </w:tr>
      <w:tr>
        <w:tc>
          <w:tcPr>
            <w:tcW w:type="dxa" w:w="2340"/>
            <w:shd w:val="clear" w:color="auto" w:fill="F9FBFD"/>
            <w:tcMar>
              <w:top w:w="40" w:type="dxa"/>
              <w:bottom w:w="40" w:type="dxa"/>
              <w:left w:w="50" w:type="dxa"/>
              <w:right w:w="50" w:type="dxa"/>
            </w:tcMar>
          </w:tcPr>
          <w:p>
            <w:r>
              <w:rPr>
                <w:rFonts w:ascii="Times New Roman" w:hAnsi="Times New Roman"/>
                <w:color w:val="141414"/>
                <w:sz w:val="17"/>
              </w:rPr>
              <w:t>Despliegue en Producción</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Infraestructura cloud con clúster Docker y PostgreSQL gestionado</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docs/architecture/c4/ruta-colca/export/structurizr-DespliegueProduccion.png</w:t>
            </w:r>
          </w:p>
        </w:tc>
        <w:tc>
          <w:tcPr>
            <w:tcW w:type="dxa" w:w="2340"/>
            <w:shd w:val="clear" w:color="auto" w:fill="F9FBFD"/>
            <w:tcMar>
              <w:top w:w="40" w:type="dxa"/>
              <w:bottom w:w="40" w:type="dxa"/>
              <w:left w:w="50" w:type="dxa"/>
              <w:right w:w="50" w:type="dxa"/>
            </w:tcMar>
          </w:tcPr>
          <w:p>
            <w:r>
              <w:rPr>
                <w:rFonts w:ascii="Times New Roman" w:hAnsi="Times New Roman"/>
                <w:color w:val="125AA0"/>
                <w:sz w:val="17"/>
              </w:rPr>
              <w:t>https://github.com/leonardobaca7/rutaColca_C4/blob/main/docs/architecture/c4/ruta-colca/export/structurizr-DespliegueProduccion.png</w:t>
            </w:r>
          </w:p>
        </w:tc>
      </w:tr>
    </w:tbl>
    <w:p>
      <w:pPr>
        <w:keepNext/>
        <w:spacing w:before="320" w:after="120"/>
        <w:jc w:val="left"/>
      </w:pPr>
      <w:r>
        <w:rPr>
          <w:rFonts w:ascii="Times New Roman" w:hAnsi="Times New Roman"/>
          <w:b/>
          <w:color w:val="0B3D62"/>
          <w:sz w:val="32"/>
        </w:rPr>
        <w:t>8. Paso 7: Implementación de Prueba de Concepto y Función de Aptitud</w:t>
      </w:r>
    </w:p>
    <w:p>
      <w:pPr>
        <w:spacing w:after="120" w:line="276" w:lineRule="auto"/>
        <w:jc w:val="both"/>
      </w:pPr>
      <w:r>
        <w:rPr>
          <w:rFonts w:ascii="Times New Roman" w:hAnsi="Times New Roman"/>
          <w:b/>
          <w:color w:val="141414"/>
          <w:sz w:val="24"/>
        </w:rPr>
        <w:t xml:space="preserve">Implementación de Software: </w:t>
      </w:r>
      <w:r>
        <w:rPr>
          <w:rFonts w:ascii="Times New Roman" w:hAnsi="Times New Roman"/>
          <w:i w:val="0"/>
          <w:color w:val="141414"/>
          <w:sz w:val="24"/>
        </w:rPr>
        <w:t>En la Parte B se implementaron dos soluciones complementarias en Java 21 moderno para verificar experimentalmente el diseño propuesto:</w:t>
      </w:r>
    </w:p>
    <w:p>
      <w:pPr>
        <w:spacing w:after="120" w:line="276" w:lineRule="auto"/>
        <w:jc w:val="both"/>
      </w:pPr>
      <w:r>
        <w:rPr>
          <w:rFonts w:ascii="Times New Roman" w:hAnsi="Times New Roman"/>
          <w:i w:val="0"/>
          <w:color w:val="141414"/>
          <w:sz w:val="24"/>
        </w:rPr>
        <w:t>1. Prueba de Concepto de Resiliencia (`DemoResilienciaPagosTest.java`): Simula la llegada de 8 reservas concurrentes. En la Fase 1, con pasarela activa, los pagos se confirman síncronamente. En la Fase 2, se induce una caída externa de 15 minutos (HTTP 504); el Circuit Breaker corta llamadas salientes y el sistema degrada grácilmente preservando el 100% de las intenciones de cobro en el Outbox en estado PENDIENTE_PAGO (0 reservas perdidas). En la Fase 4, la pasarela se restablece y el OutboxRelayWorker concilia exitosamente las 6 reservas diferidas a CONFIRMADA_PAGADA sin intervención manual.</w:t>
      </w:r>
    </w:p>
    <w:p>
      <w:pPr>
        <w:spacing w:after="120" w:line="276" w:lineRule="auto"/>
        <w:jc w:val="both"/>
      </w:pPr>
      <w:r>
        <w:rPr>
          <w:rFonts w:ascii="Times New Roman" w:hAnsi="Times New Roman"/>
          <w:i w:val="0"/>
          <w:color w:val="141414"/>
          <w:sz w:val="24"/>
        </w:rPr>
        <w:t>2. Función de Aptitud Arquitectónica (`ReglaArquitecturaPagosTest.java`): Inspirada en 'Building Evolutionary Architectures' (Ford et al., 2022) y el ejemplo ReglaDependencias del Tema 10. Escanea automáticamente el paquete 'com.rutacolca.ag10.dominio' para verificar mediante pruebas de integración continua que el núcleo de negocio jamás importe infraestructura, pasarelas externas ni frameworks web, preservando el aislamiento de la Arquitectura Hexagonal.</w:t>
      </w:r>
    </w:p>
    <w:p>
      <w:pPr>
        <w:keepNext/>
        <w:spacing w:before="320" w:after="120"/>
        <w:jc w:val="left"/>
      </w:pPr>
      <w:r>
        <w:rPr>
          <w:rFonts w:ascii="Times New Roman" w:hAnsi="Times New Roman"/>
          <w:b/>
          <w:color w:val="0B3D62"/>
          <w:sz w:val="32"/>
        </w:rPr>
        <w:t>9. Paso 8: Bitácora de Uso y Gobernanza de Inteligencia Artificial</w:t>
      </w:r>
    </w:p>
    <w:p>
      <w:pPr>
        <w:spacing w:after="120" w:line="276" w:lineRule="auto"/>
        <w:jc w:val="both"/>
      </w:pPr>
      <w:r>
        <w:rPr>
          <w:rFonts w:ascii="Times New Roman" w:hAnsi="Times New Roman"/>
          <w:i w:val="0"/>
          <w:color w:val="141414"/>
          <w:sz w:val="24"/>
        </w:rPr>
        <w:t>El equipo mantuvo una estricta política de gobernanza asistida por IA bajo la premisa 'La IA propone, el equipo decide y verifica'. Se registraron sistemáticamente los prompts P1 a P5:</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3D62"/>
          </w:tcPr>
          <w:p>
            <w:pPr>
              <w:jc w:val="center"/>
            </w:pPr>
            <w:r>
              <w:rPr>
                <w:rFonts w:ascii="Times New Roman" w:hAnsi="Times New Roman"/>
                <w:b/>
                <w:color w:val="FFFFFF"/>
                <w:sz w:val="19"/>
              </w:rPr>
              <w:t>Prompt ID</w:t>
            </w:r>
          </w:p>
        </w:tc>
        <w:tc>
          <w:tcPr>
            <w:tcW w:type="dxa" w:w="2340"/>
            <w:shd w:val="clear" w:color="auto" w:fill="0B3D62"/>
          </w:tcPr>
          <w:p>
            <w:pPr>
              <w:jc w:val="center"/>
            </w:pPr>
            <w:r>
              <w:rPr>
                <w:rFonts w:ascii="Times New Roman" w:hAnsi="Times New Roman"/>
                <w:b/>
                <w:color w:val="FFFFFF"/>
                <w:sz w:val="19"/>
              </w:rPr>
              <w:t>Propósito del Prompt</w:t>
            </w:r>
          </w:p>
        </w:tc>
        <w:tc>
          <w:tcPr>
            <w:tcW w:type="dxa" w:w="2340"/>
            <w:shd w:val="clear" w:color="auto" w:fill="0B3D62"/>
          </w:tcPr>
          <w:p>
            <w:pPr>
              <w:jc w:val="center"/>
            </w:pPr>
            <w:r>
              <w:rPr>
                <w:rFonts w:ascii="Times New Roman" w:hAnsi="Times New Roman"/>
                <w:b/>
                <w:color w:val="FFFFFF"/>
                <w:sz w:val="19"/>
              </w:rPr>
              <w:t>Integrante Verificador</w:t>
            </w:r>
          </w:p>
        </w:tc>
        <w:tc>
          <w:tcPr>
            <w:tcW w:type="dxa" w:w="2340"/>
            <w:shd w:val="clear" w:color="auto" w:fill="0B3D62"/>
          </w:tcPr>
          <w:p>
            <w:pPr>
              <w:jc w:val="center"/>
            </w:pPr>
            <w:r>
              <w:rPr>
                <w:rFonts w:ascii="Times New Roman" w:hAnsi="Times New Roman"/>
                <w:b/>
                <w:color w:val="FFFFFF"/>
                <w:sz w:val="19"/>
              </w:rPr>
              <w:t>Decisión Crítica del Equipo Humano</w:t>
            </w:r>
          </w:p>
        </w:tc>
      </w:tr>
      <w:tr>
        <w:tc>
          <w:tcPr>
            <w:tcW w:type="dxa" w:w="2340"/>
            <w:shd w:val="clear" w:color="auto" w:fill="FFFFFF"/>
            <w:tcMar>
              <w:top w:w="40" w:type="dxa"/>
              <w:bottom w:w="40" w:type="dxa"/>
              <w:left w:w="50" w:type="dxa"/>
              <w:right w:w="50" w:type="dxa"/>
            </w:tcMar>
          </w:tcPr>
          <w:p>
            <w:r>
              <w:rPr>
                <w:rFonts w:ascii="Times New Roman" w:hAnsi="Times New Roman"/>
                <w:color w:val="141414"/>
                <w:sz w:val="17"/>
              </w:rPr>
              <w:t>P1: Priorización</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Cuestionar coherencia de dificultades en el árbol de utilidad</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Emanuel Hilacondo Begazo</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Aceptada la justificación de riesgo en E2; se mantuvo E1 en dificultad Media por ser de solo lectura.</w:t>
            </w:r>
          </w:p>
        </w:tc>
      </w:tr>
      <w:tr>
        <w:tc>
          <w:tcPr>
            <w:tcW w:type="dxa" w:w="2340"/>
            <w:shd w:val="clear" w:color="auto" w:fill="F9FBFD"/>
            <w:tcMar>
              <w:top w:w="40" w:type="dxa"/>
              <w:bottom w:w="40" w:type="dxa"/>
              <w:left w:w="50" w:type="dxa"/>
              <w:right w:w="50" w:type="dxa"/>
            </w:tcMar>
          </w:tcPr>
          <w:p>
            <w:r>
              <w:rPr>
                <w:rFonts w:ascii="Times New Roman" w:hAnsi="Times New Roman"/>
                <w:color w:val="141414"/>
                <w:sz w:val="17"/>
              </w:rPr>
              <w:t>P2: Iteración ADD</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Comparar alternativas técnicas Outbox vs. Broker externo</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German Arturo Chipana Jeronimo</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Aceptado Transactional Outbox; rechazado Debezium/Kafka por violar costo y plazo de 3 semanas.</w:t>
            </w:r>
          </w:p>
        </w:tc>
      </w:tr>
      <w:tr>
        <w:tc>
          <w:tcPr>
            <w:tcW w:type="dxa" w:w="2340"/>
            <w:shd w:val="clear" w:color="auto" w:fill="FFFFFF"/>
            <w:tcMar>
              <w:top w:w="40" w:type="dxa"/>
              <w:bottom w:w="40" w:type="dxa"/>
              <w:left w:w="50" w:type="dxa"/>
              <w:right w:w="50" w:type="dxa"/>
            </w:tcMar>
          </w:tcPr>
          <w:p>
            <w:r>
              <w:rPr>
                <w:rFonts w:ascii="Times New Roman" w:hAnsi="Times New Roman"/>
                <w:color w:val="141414"/>
                <w:sz w:val="17"/>
              </w:rPr>
              <w:t>P3: Auditoría ADR</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Detectar y corregir frases vagas o no medibles en el ADR-003</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Leonardo Juan José Baca Calsin</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Aceptadas métricas cuantitativas (timeout 3s, umbral 50%, sondeo cada 15s en lotes de 50).</w:t>
            </w:r>
          </w:p>
        </w:tc>
      </w:tr>
      <w:tr>
        <w:tc>
          <w:tcPr>
            <w:tcW w:type="dxa" w:w="2340"/>
            <w:shd w:val="clear" w:color="auto" w:fill="F9FBFD"/>
            <w:tcMar>
              <w:top w:w="40" w:type="dxa"/>
              <w:bottom w:w="40" w:type="dxa"/>
              <w:left w:w="50" w:type="dxa"/>
              <w:right w:w="50" w:type="dxa"/>
            </w:tcMar>
          </w:tcPr>
          <w:p>
            <w:r>
              <w:rPr>
                <w:rFonts w:ascii="Times New Roman" w:hAnsi="Times New Roman"/>
                <w:color w:val="141414"/>
                <w:sz w:val="17"/>
              </w:rPr>
              <w:t>P4: Evaluador ATAM</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Evaluar riesgos y trade-offs del ADR de Seguridad (E3)</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Mauro Snayder Sullca Mamani</w:t>
            </w:r>
          </w:p>
        </w:tc>
        <w:tc>
          <w:tcPr>
            <w:tcW w:type="dxa" w:w="2340"/>
            <w:shd w:val="clear" w:color="auto" w:fill="F9FBFD"/>
            <w:tcMar>
              <w:top w:w="40" w:type="dxa"/>
              <w:bottom w:w="40" w:type="dxa"/>
              <w:left w:w="50" w:type="dxa"/>
              <w:right w:w="50" w:type="dxa"/>
            </w:tcMar>
          </w:tcPr>
          <w:p>
            <w:r>
              <w:rPr>
                <w:rFonts w:ascii="Times New Roman" w:hAnsi="Times New Roman"/>
                <w:color w:val="141414"/>
                <w:sz w:val="17"/>
              </w:rPr>
              <w:t>Identificado riesgo BOLA y trade-off con rendimiento; equipo diseñó mitigación con eventos @Async.</w:t>
            </w:r>
          </w:p>
        </w:tc>
      </w:tr>
      <w:tr>
        <w:tc>
          <w:tcPr>
            <w:tcW w:type="dxa" w:w="2340"/>
            <w:shd w:val="clear" w:color="auto" w:fill="FFFFFF"/>
            <w:tcMar>
              <w:top w:w="40" w:type="dxa"/>
              <w:bottom w:w="40" w:type="dxa"/>
              <w:left w:w="50" w:type="dxa"/>
              <w:right w:w="50" w:type="dxa"/>
            </w:tcMar>
          </w:tcPr>
          <w:p>
            <w:r>
              <w:rPr>
                <w:rFonts w:ascii="Times New Roman" w:hAnsi="Times New Roman"/>
                <w:color w:val="141414"/>
                <w:sz w:val="17"/>
              </w:rPr>
              <w:t>P5: Modelo C4</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Estructurar vista dynamic en Structurizr DSL</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Leonardo Juan José Baca Calsin</w:t>
            </w:r>
          </w:p>
        </w:tc>
        <w:tc>
          <w:tcPr>
            <w:tcW w:type="dxa" w:w="2340"/>
            <w:shd w:val="clear" w:color="auto" w:fill="FFFFFF"/>
            <w:tcMar>
              <w:top w:w="40" w:type="dxa"/>
              <w:bottom w:w="40" w:type="dxa"/>
              <w:left w:w="50" w:type="dxa"/>
              <w:right w:w="50" w:type="dxa"/>
            </w:tcMar>
          </w:tcPr>
          <w:p>
            <w:r>
              <w:rPr>
                <w:rFonts w:ascii="Times New Roman" w:hAnsi="Times New Roman"/>
                <w:color w:val="141414"/>
                <w:sz w:val="17"/>
              </w:rPr>
              <w:t>Corregidas relaciones de retorno con WhatsApp en el modelo base previo a validación con CLI.</w:t>
            </w:r>
          </w:p>
        </w:tc>
      </w:tr>
    </w:tbl>
    <w:p>
      <w:pPr>
        <w:keepNext/>
        <w:spacing w:before="320" w:after="120"/>
        <w:jc w:val="left"/>
      </w:pPr>
      <w:r>
        <w:rPr>
          <w:rFonts w:ascii="Times New Roman" w:hAnsi="Times New Roman"/>
          <w:b/>
          <w:color w:val="0B3D62"/>
          <w:sz w:val="32"/>
        </w:rPr>
        <w:t>10. Conclusiones y Referencias Bibliográficas</w:t>
      </w:r>
    </w:p>
    <w:p>
      <w:pPr>
        <w:spacing w:after="120" w:line="276" w:lineRule="auto"/>
        <w:jc w:val="both"/>
      </w:pPr>
      <w:r>
        <w:rPr>
          <w:rFonts w:ascii="Times New Roman" w:hAnsi="Times New Roman"/>
          <w:i w:val="0"/>
          <w:color w:val="141414"/>
          <w:sz w:val="24"/>
        </w:rPr>
        <w:t>1. ADD 3.0 como puente entre requisitos y arquitectura: El diseño guiado por atributos demostró que las decisiones de software no deben basarse en modas tecnológicas (como forzar microservicios), sino en la necesidad demostrable de satisfacer medidas de escenarios de calidad concretos dentro de restricciones realistas de costo y tiempo.</w:t>
      </w:r>
    </w:p>
    <w:p>
      <w:pPr>
        <w:spacing w:after="120" w:line="276" w:lineRule="auto"/>
        <w:jc w:val="both"/>
      </w:pPr>
      <w:r>
        <w:rPr>
          <w:rFonts w:ascii="Times New Roman" w:hAnsi="Times New Roman"/>
          <w:i w:val="0"/>
          <w:color w:val="141414"/>
          <w:sz w:val="24"/>
        </w:rPr>
        <w:t>2. Resiliencia transaccional sin sobrecosto: El Patrón Outbox Transaccional sobre PostgreSQL 16 resolvió la disponibilidad de pagos con $0 USD de costo adicional de infraestructura, protegiendo la API mediante un Circuit Breaker y asegurando 0 pérdidas de reservas durante caídas bancarias de 15 minutos en temporada alta.</w:t>
      </w:r>
    </w:p>
    <w:p>
      <w:pPr>
        <w:spacing w:after="120" w:line="276" w:lineRule="auto"/>
        <w:jc w:val="both"/>
      </w:pPr>
      <w:r>
        <w:rPr>
          <w:rFonts w:ascii="Times New Roman" w:hAnsi="Times New Roman"/>
          <w:i w:val="0"/>
          <w:color w:val="141414"/>
          <w:sz w:val="24"/>
        </w:rPr>
        <w:t>3. Verificación evolutiva: La combinación de pruebas de concepto funcionales y funciones de aptitud arquitectónica automatizadas garantiza que la arquitectura evolucione con el tiempo sin degradar sus invariantes de diseño ni incurrir en el antipatrón Big Ball of Mud.</w:t>
      </w:r>
    </w:p>
    <w:p>
      <w:pPr>
        <w:keepNext/>
        <w:spacing w:before="240" w:after="80"/>
        <w:jc w:val="left"/>
      </w:pPr>
      <w:r>
        <w:rPr>
          <w:rFonts w:ascii="Times New Roman" w:hAnsi="Times New Roman"/>
          <w:b/>
          <w:color w:val="1B5E8B"/>
          <w:sz w:val="27"/>
        </w:rPr>
        <w:t>Referencias Bibliográficas (Formato APA 7)</w:t>
      </w:r>
    </w:p>
    <w:p>
      <w:pPr>
        <w:spacing w:after="120" w:line="276" w:lineRule="auto"/>
        <w:jc w:val="both"/>
      </w:pPr>
      <w:r>
        <w:rPr>
          <w:rFonts w:ascii="Times New Roman" w:hAnsi="Times New Roman"/>
          <w:i w:val="0"/>
          <w:color w:val="141414"/>
          <w:sz w:val="24"/>
        </w:rPr>
        <w:t>• Bass, L., Clements, P., &amp; Kazman, R. (2021). Software Architecture in Practice (4th ed.). Addison-Wesley.</w:t>
      </w:r>
    </w:p>
    <w:p>
      <w:pPr>
        <w:spacing w:after="120" w:line="276" w:lineRule="auto"/>
        <w:jc w:val="both"/>
      </w:pPr>
      <w:r>
        <w:rPr>
          <w:rFonts w:ascii="Times New Roman" w:hAnsi="Times New Roman"/>
          <w:i w:val="0"/>
          <w:color w:val="141414"/>
          <w:sz w:val="24"/>
        </w:rPr>
        <w:t>• Cervantes, H., &amp; Kazman, R. (2016). Designing Software Architectures: A Practical Approach. Addison-Wesley.</w:t>
      </w:r>
    </w:p>
    <w:p>
      <w:pPr>
        <w:spacing w:after="120" w:line="276" w:lineRule="auto"/>
        <w:jc w:val="both"/>
      </w:pPr>
      <w:r>
        <w:rPr>
          <w:rFonts w:ascii="Times New Roman" w:hAnsi="Times New Roman"/>
          <w:i w:val="0"/>
          <w:color w:val="141414"/>
          <w:sz w:val="24"/>
        </w:rPr>
        <w:t>• Ford, N., Parsons, R., Kua, P., &amp; Sadalage, P. (2022). Building Evolutionary Architectures (2nd ed.). O'Reilly Media.</w:t>
      </w:r>
    </w:p>
    <w:p>
      <w:pPr>
        <w:spacing w:after="120" w:line="276" w:lineRule="auto"/>
        <w:jc w:val="both"/>
      </w:pPr>
      <w:r>
        <w:rPr>
          <w:rFonts w:ascii="Times New Roman" w:hAnsi="Times New Roman"/>
          <w:i w:val="0"/>
          <w:color w:val="141414"/>
          <w:sz w:val="24"/>
        </w:rPr>
        <w:t>• Kazman, R., Klein, M., &amp; Clements, P. (2000). ATAM: Method for Architecture Evaluation (CMU/SEI-2000-TR-004). Software Engineering Institute.</w:t>
      </w:r>
    </w:p>
    <w:p>
      <w:pPr>
        <w:spacing w:after="120" w:line="276" w:lineRule="auto"/>
        <w:jc w:val="both"/>
      </w:pPr>
      <w:r>
        <w:rPr>
          <w:rFonts w:ascii="Times New Roman" w:hAnsi="Times New Roman"/>
          <w:i w:val="0"/>
          <w:color w:val="141414"/>
          <w:sz w:val="24"/>
        </w:rPr>
        <w:t>• Nygard, M. (2011). Documenting Architecture Decisions. Cognitect Blog.</w:t>
      </w:r>
    </w:p>
    <w:p>
      <w:pPr>
        <w:spacing w:after="120" w:line="276" w:lineRule="auto"/>
        <w:jc w:val="both"/>
      </w:pPr>
      <w:r>
        <w:rPr>
          <w:rFonts w:ascii="Times New Roman" w:hAnsi="Times New Roman"/>
          <w:i w:val="0"/>
          <w:color w:val="141414"/>
          <w:sz w:val="24"/>
        </w:rPr>
        <w:t>• OWASP Foundation. (2023). OWASP API Security Top 10 – 2023. https://owasp.org/API-Security/</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8"/>
      </w:rPr>
      <w:t>Construcción de Software (2026-B) – EPIS UNSA | Tema 10: Diseño de la Arquitectura (AG-10)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