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/>
        <w:jc w:val="center"/>
      </w:pPr>
      <w:r>
        <w:rPr>
          <w:rFonts w:ascii="Times New Roman" w:hAnsi="Times New Roman"/>
          <w:b/>
          <w:color w:val="0B3D62"/>
          <w:sz w:val="32"/>
        </w:rPr>
        <w:t>UNIVERSIDAD NACIONAL DE SAN AGUSTÍN DE AREQUIPA</w:t>
      </w:r>
    </w:p>
    <w:p>
      <w:pPr>
        <w:spacing w:after="400"/>
        <w:jc w:val="center"/>
      </w:pPr>
      <w:r>
        <w:rPr>
          <w:rFonts w:ascii="Times New Roman" w:hAnsi="Times New Roman"/>
          <w:b/>
          <w:color w:val="1B5E8B"/>
          <w:sz w:val="26"/>
        </w:rPr>
        <w:t>FACULTAD DE INGENIERÍA DE PRODUCCIÓN Y SERVICIOS</w:t>
        <w:br/>
        <w:t>ESCUELA PROFESIONAL DE INGENIERÍA DE SISTEMAS</w:t>
      </w:r>
    </w:p>
    <w:p>
      <w:pPr>
        <w:spacing w:before="700" w:after="160"/>
        <w:jc w:val="center"/>
      </w:pPr>
      <w:r>
        <w:rPr>
          <w:rFonts w:ascii="Times New Roman" w:hAnsi="Times New Roman"/>
          <w:b/>
          <w:color w:val="0B3D62"/>
          <w:sz w:val="40"/>
        </w:rPr>
        <w:t>INFORME TÉCNICO DE CONSTRUCCIÓN DE SOFTWARE</w:t>
      </w:r>
    </w:p>
    <w:p>
      <w:pPr>
        <w:spacing w:after="900"/>
        <w:jc w:val="center"/>
      </w:pPr>
      <w:r>
        <w:rPr>
          <w:rFonts w:ascii="Times New Roman" w:hAnsi="Times New Roman"/>
          <w:b/>
          <w:color w:val="1B5E8B"/>
          <w:sz w:val="27"/>
        </w:rPr>
        <w:t>TEMA 09: PATRONES DE DISEÑO GOF EN RUTACOLCA</w:t>
        <w:br/>
        <w:t>Actividad Grupal AG-09 · Rúbrica de Evaluación (20 Puntos)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B3D62"/>
                <w:sz w:val="22"/>
              </w:rPr>
              <w:t>Asignatura:</w:t>
            </w:r>
          </w:p>
        </w:tc>
        <w:tc>
          <w:tcPr>
            <w:tcW w:type="dxa" w:w="61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22"/>
              </w:rPr>
              <w:t>Construcción de Software (Código: 1703243) — Semestre 2026-B</w:t>
            </w:r>
          </w:p>
        </w:tc>
      </w:tr>
      <w:tr>
        <w:tc>
          <w:tcPr>
            <w:tcW w:type="dxa" w:w="3168"/>
            <w:shd w:val="clear" w:color="auto"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B3D62"/>
                <w:sz w:val="22"/>
              </w:rPr>
              <w:t>Docente:</w:t>
            </w:r>
          </w:p>
        </w:tc>
        <w:tc>
          <w:tcPr>
            <w:tcW w:type="dxa" w:w="61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22"/>
              </w:rPr>
              <w:t>Mg. Antonio Arroyo Paz (aarroyop@unsa.edu.pe)</w:t>
            </w:r>
          </w:p>
        </w:tc>
      </w:tr>
      <w:tr>
        <w:tc>
          <w:tcPr>
            <w:tcW w:type="dxa" w:w="3168"/>
            <w:shd w:val="clear" w:color="auto"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B3D62"/>
                <w:sz w:val="22"/>
              </w:rPr>
              <w:t>Semana Académica:</w:t>
            </w:r>
          </w:p>
        </w:tc>
        <w:tc>
          <w:tcPr>
            <w:tcW w:type="dxa" w:w="61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22"/>
              </w:rPr>
              <w:t>Semana 09 · Tema 09: Patrones de Diseño</w:t>
            </w:r>
          </w:p>
        </w:tc>
      </w:tr>
      <w:tr>
        <w:tc>
          <w:tcPr>
            <w:tcW w:type="dxa" w:w="3168"/>
            <w:shd w:val="clear" w:color="auto"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B3D62"/>
                <w:sz w:val="22"/>
              </w:rPr>
              <w:t>Competencias ABET:</w:t>
            </w:r>
          </w:p>
        </w:tc>
        <w:tc>
          <w:tcPr>
            <w:tcW w:type="dxa" w:w="61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22"/>
              </w:rPr>
              <w:t>C.c (Diseño con restricciones realistas) · C.d (Trabajo en equipo) · C.g (Comunicación)</w:t>
            </w:r>
          </w:p>
        </w:tc>
      </w:tr>
      <w:tr>
        <w:tc>
          <w:tcPr>
            <w:tcW w:type="dxa" w:w="3168"/>
            <w:shd w:val="clear" w:color="auto"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0B3D62"/>
                <w:sz w:val="22"/>
              </w:rPr>
              <w:t>Repositorio GitHub:</w:t>
            </w:r>
          </w:p>
        </w:tc>
        <w:tc>
          <w:tcPr>
            <w:tcW w:type="dxa" w:w="61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22"/>
              </w:rPr>
              <w:t>https://github.com/leonardobaca7/rutaColca_C4.git</w:t>
            </w:r>
          </w:p>
        </w:tc>
      </w:tr>
    </w:tbl>
    <w:p>
      <w:pPr>
        <w:spacing w:before="600" w:after="120"/>
      </w:pPr>
      <w:r>
        <w:rPr>
          <w:rFonts w:ascii="Times New Roman" w:hAnsi="Times New Roman"/>
          <w:b/>
          <w:color w:val="0B3D62"/>
          <w:sz w:val="24"/>
        </w:rPr>
        <w:t>Autores e Integrantes del Equipo: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B3D6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Estudiante</w:t>
            </w:r>
          </w:p>
        </w:tc>
        <w:tc>
          <w:tcPr>
            <w:tcW w:type="dxa" w:w="3120"/>
            <w:shd w:val="clear" w:color="auto" w:fill="0B3D6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Correo Institucional</w:t>
            </w:r>
          </w:p>
        </w:tc>
        <w:tc>
          <w:tcPr>
            <w:tcW w:type="dxa" w:w="3120"/>
            <w:shd w:val="clear" w:color="auto" w:fill="0B3D6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Rol en la Actividad AG-09</w:t>
            </w:r>
          </w:p>
        </w:tc>
      </w:tr>
      <w:tr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41414"/>
                <w:sz w:val="20"/>
              </w:rPr>
              <w:t>Emanuel Hilacondo Begazo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20"/>
              </w:rPr>
              <w:t>ehilacondob@unsa.edu.pe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20"/>
              </w:rPr>
              <w:t>Analista de Diseño (Identificación de problemas y principios)</w:t>
            </w:r>
          </w:p>
        </w:tc>
      </w:tr>
      <w:tr>
        <w:tc>
          <w:tcPr>
            <w:tcW w:type="dxa" w:w="3120"/>
            <w:shd w:val="clear" w:color="auto"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41414"/>
                <w:sz w:val="20"/>
              </w:rPr>
              <w:t>Leonardo Juan José Baca Calsin</w:t>
            </w:r>
          </w:p>
        </w:tc>
        <w:tc>
          <w:tcPr>
            <w:tcW w:type="dxa" w:w="3120"/>
            <w:shd w:val="clear" w:color="auto"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20"/>
              </w:rPr>
              <w:t>lbacac@unsa.edu.pe</w:t>
            </w:r>
          </w:p>
        </w:tc>
        <w:tc>
          <w:tcPr>
            <w:tcW w:type="dxa" w:w="3120"/>
            <w:shd w:val="clear" w:color="auto"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20"/>
              </w:rPr>
              <w:t>Líder Técnico (Implementación Java 21 y gobernanza IA)</w:t>
            </w:r>
          </w:p>
        </w:tc>
      </w:tr>
      <w:tr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41414"/>
                <w:sz w:val="20"/>
              </w:rPr>
              <w:t>Mauro Snayder Sullca Mamani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20"/>
              </w:rPr>
              <w:t>msullcam@unsa.edu.pe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20"/>
              </w:rPr>
              <w:t>Evaluador de Arquitectura (Reto de Paternite)</w:t>
            </w:r>
          </w:p>
        </w:tc>
      </w:tr>
      <w:tr>
        <w:tc>
          <w:tcPr>
            <w:tcW w:type="dxa" w:w="3120"/>
            <w:shd w:val="clear" w:color="auto"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41414"/>
                <w:sz w:val="20"/>
              </w:rPr>
              <w:t>German Arturo Chipana Jeronimo</w:t>
            </w:r>
          </w:p>
        </w:tc>
        <w:tc>
          <w:tcPr>
            <w:tcW w:type="dxa" w:w="3120"/>
            <w:shd w:val="clear" w:color="auto"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20"/>
              </w:rPr>
              <w:t>gchipanaj@unsa.edu.pe</w:t>
            </w:r>
          </w:p>
        </w:tc>
        <w:tc>
          <w:tcPr>
            <w:tcW w:type="dxa" w:w="3120"/>
            <w:shd w:val="clear" w:color="auto"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20"/>
              </w:rPr>
              <w:t>Diseñador de Modelos UML (PlantUML)</w:t>
            </w:r>
          </w:p>
        </w:tc>
      </w:tr>
    </w:tbl>
    <w:p>
      <w:pPr>
        <w:spacing w:before="600"/>
        <w:jc w:val="center"/>
      </w:pPr>
      <w:r>
        <w:rPr>
          <w:rFonts w:ascii="Times New Roman" w:hAnsi="Times New Roman"/>
          <w:i/>
          <w:color w:val="505050"/>
          <w:sz w:val="22"/>
        </w:rPr>
        <w:t>Arequipa, Octubre de 2026</w:t>
      </w:r>
    </w:p>
    <w:p>
      <w:r>
        <w:br w:type="page"/>
      </w:r>
    </w:p>
    <w:p>
      <w:pPr>
        <w:keepNext/>
        <w:spacing w:before="400" w:after="120"/>
      </w:pPr>
      <w:r>
        <w:rPr>
          <w:rFonts w:ascii="Times New Roman" w:hAnsi="Times New Roman"/>
          <w:b/>
          <w:color w:val="0B3D62"/>
          <w:sz w:val="32"/>
        </w:rPr>
        <w:t>Resumen Ejecutivo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color w:val="141414"/>
          <w:sz w:val="24"/>
        </w:rPr>
        <w:t>El presente informe técnico documenta en exclusividad la resolución integral de la Actividad Grupal AG-09, correspondiente a la Semana 09 («Tema 09: Patrones de Diseño») de la asignatura Construcción de Software. A partir del crecimiento funcional de la plataforma turística «RutaColca», el equipo abordó cinco escenarios reales de diseño orientado a objetos, evaluando cuándo aplicar soluciones del catálogo GoF (Gamma et al., 1994) y cuándo rechazarlas tajantemente para evitar el antipatrón de la sobreaplicación de patrones («paternite»).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color w:val="141414"/>
          <w:sz w:val="24"/>
        </w:rPr>
        <w:t>El documento da respuesta rigurosa a los cinco criterios de la rúbrica oficial docente (20/20 puntos): (1) Identificación clara del problema de diseño en los 5 escenarios; (2) Elección fundamentada de los patrones con principios de diseño (Abierto/Cerrado, Inversión de Dependencias, Composición sobre Herencia, Encapsular lo que varía); (3) Modelado de diagramas de clases PlantUML con roles explícitos (Cliente, Interfaz/Objetivo, Clases Concretas); (4) Auditoría y uso crítico de asistentes de Inteligencia Artificial mediante bitácora de contrastación; y (5) Resolución formal del reto de la «paternite» demostrando por qué en el escenario de consultas masivas de disponibilidad un índice relacional B-Tree en PostgreSQL 16 y caché HTTP en el balanceador son técnica y económicamente superiores a forzar un patrón Proxy artesanal en memoria. Todos los patrones seleccionados fueron implementados y verificados en Java 21.</w:t>
      </w:r>
    </w:p>
    <w:p>
      <w:pPr>
        <w:keepNext/>
        <w:spacing w:before="400" w:after="120"/>
      </w:pPr>
      <w:r>
        <w:rPr>
          <w:rFonts w:ascii="Times New Roman" w:hAnsi="Times New Roman"/>
          <w:b/>
          <w:color w:val="0B3D62"/>
          <w:sz w:val="32"/>
        </w:rPr>
        <w:t>1. Introducción y Marco Teórico de Patrones (Semana 09)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color w:val="141414"/>
          <w:sz w:val="24"/>
        </w:rPr>
        <w:t>Un patrón de diseño describe un problema recurrente en el desarrollo de software y el núcleo de una solución probada por la comunidad, reutilizable infinitas veces sin aplicarse dos veces de la misma forma (Gamma et al., 1994). En la sesión teórica se estudiaron las 3 familias del catálogo GoF que agrupan los 23 patrones canónicos: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color w:val="141414"/>
          <w:sz w:val="24"/>
        </w:rPr>
        <w:t xml:space="preserve">• </w:t>
      </w:r>
      <w:r>
        <w:rPr>
          <w:rFonts w:ascii="Times New Roman" w:hAnsi="Times New Roman"/>
          <w:i w:val="0"/>
          <w:color w:val="141414"/>
          <w:sz w:val="24"/>
        </w:rPr>
        <w:t>Creacionales (5 patrones): Resuelven cómo crear objetos sin depender de sus clases concretas (Factory Method, Singleton, Abstract Factory, Builder, Prototype).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color w:val="141414"/>
          <w:sz w:val="24"/>
        </w:rPr>
        <w:t xml:space="preserve">• </w:t>
      </w:r>
      <w:r>
        <w:rPr>
          <w:rFonts w:ascii="Times New Roman" w:hAnsi="Times New Roman"/>
          <w:i w:val="0"/>
          <w:color w:val="141414"/>
          <w:sz w:val="24"/>
        </w:rPr>
        <w:t>Estructurales (7 patrones): Resuelven cómo componer clases y objetos en estructuras mayores flexibles (Adapter, Facade, Decorator, Proxy, Bridge, Composite, Flyweight).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color w:val="141414"/>
          <w:sz w:val="24"/>
        </w:rPr>
        <w:t xml:space="preserve">• </w:t>
      </w:r>
      <w:r>
        <w:rPr>
          <w:rFonts w:ascii="Times New Roman" w:hAnsi="Times New Roman"/>
          <w:i w:val="0"/>
          <w:color w:val="141414"/>
          <w:sz w:val="24"/>
        </w:rPr>
        <w:t>Comportamentales (11 patrones): Resuelven cómo repartir responsabilidades y coordinar la comunicación entre objetos (Strategy, Observer, Template Method, Command, State, etc.).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1B5E8B"/>
          <w:sz w:val="27"/>
        </w:rPr>
        <w:t>1.1. Principios Subyacentes a los Patrones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color w:val="141414"/>
          <w:sz w:val="24"/>
        </w:rPr>
        <w:t>Siguiendo lo expuesto por Marco Tulio Valente (2020) y Erich Gamma (1994), los patrones de diseño son viables únicamente si se sustentan en principios de diseño de software sólido: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color w:val="141414"/>
          <w:sz w:val="24"/>
        </w:rPr>
        <w:t xml:space="preserve">• </w:t>
      </w:r>
      <w:r>
        <w:rPr>
          <w:rFonts w:ascii="Times New Roman" w:hAnsi="Times New Roman"/>
          <w:i w:val="0"/>
          <w:color w:val="141414"/>
          <w:sz w:val="24"/>
        </w:rPr>
        <w:t>1. Encapsular lo que varía: Aislar los aspectos que cambian frecuentemente de aquellos estables en el dominio.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color w:val="141414"/>
          <w:sz w:val="24"/>
        </w:rPr>
        <w:t xml:space="preserve">• </w:t>
      </w:r>
      <w:r>
        <w:rPr>
          <w:rFonts w:ascii="Times New Roman" w:hAnsi="Times New Roman"/>
          <w:i w:val="0"/>
          <w:color w:val="141414"/>
          <w:sz w:val="24"/>
        </w:rPr>
        <w:t>2. Programar para interfaces, no para implementaciones: Garantizar que el cliente dependa de abstracciones polimórficas.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color w:val="141414"/>
          <w:sz w:val="24"/>
        </w:rPr>
        <w:t xml:space="preserve">• </w:t>
      </w:r>
      <w:r>
        <w:rPr>
          <w:rFonts w:ascii="Times New Roman" w:hAnsi="Times New Roman"/>
          <w:i w:val="0"/>
          <w:color w:val="141414"/>
          <w:sz w:val="24"/>
        </w:rPr>
        <w:t>3. Favorecer la composición sobre la herencia: Reutilizar comportamiento delegando en tiempo de ejecución en lugar de crear jerarquías rígidas al compilar.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color w:val="141414"/>
          <w:sz w:val="24"/>
        </w:rPr>
        <w:t xml:space="preserve">• </w:t>
      </w:r>
      <w:r>
        <w:rPr>
          <w:rFonts w:ascii="Times New Roman" w:hAnsi="Times New Roman"/>
          <w:i w:val="0"/>
          <w:color w:val="141414"/>
          <w:sz w:val="24"/>
        </w:rPr>
        <w:t>4. Principio Abierto/Cerrado (OCP): El software debe estar abierto a la extensión (nuevas clases) pero cerrado a la modificación de código existente.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color w:val="141414"/>
          <w:sz w:val="24"/>
        </w:rPr>
        <w:t xml:space="preserve">• </w:t>
      </w:r>
      <w:r>
        <w:rPr>
          <w:rFonts w:ascii="Times New Roman" w:hAnsi="Times New Roman"/>
          <w:i w:val="0"/>
          <w:color w:val="141414"/>
          <w:sz w:val="24"/>
        </w:rPr>
        <w:t>5. Bajo acoplamiento y alta cohesión: Cada clase debe conocer lo mínimo indispensable de sus colaboradores y probarse de forma aislada.</w:t>
      </w:r>
    </w:p>
    <w:p>
      <w:pPr>
        <w:keepNext/>
        <w:spacing w:before="400" w:after="120"/>
      </w:pPr>
      <w:r>
        <w:rPr>
          <w:rFonts w:ascii="Times New Roman" w:hAnsi="Times New Roman"/>
          <w:b/>
          <w:color w:val="0B3D62"/>
          <w:sz w:val="32"/>
        </w:rPr>
        <w:t>2. Identificación del Problema de Diseño en los Cinco Escenarios (Criterio 1)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color w:val="141414"/>
          <w:sz w:val="24"/>
        </w:rPr>
        <w:t>En la actividad AG-09, el caso de estudio RutaColca experimenta una expansión funcional que plantea cinco situaciones técnicas concretas. A continuación se identifican y formulan con precisión los problemas de diseño de cada escenario: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B3D6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Escenario de RutaColca</w:t>
            </w:r>
          </w:p>
        </w:tc>
        <w:tc>
          <w:tcPr>
            <w:tcW w:type="dxa" w:w="3120"/>
            <w:shd w:val="clear" w:color="auto" w:fill="0B3D6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Requerimiento Técnico</w:t>
            </w:r>
          </w:p>
        </w:tc>
        <w:tc>
          <w:tcPr>
            <w:tcW w:type="dxa" w:w="3120"/>
            <w:shd w:val="clear" w:color="auto" w:fill="0B3D6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Problema de Diseño Concreto Identificado</w:t>
            </w:r>
          </w:p>
        </w:tc>
      </w:tr>
      <w:tr>
        <w:tc>
          <w:tcPr>
            <w:tcW w:type="dxa" w:w="312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41414"/>
                <w:sz w:val="19"/>
              </w:rPr>
              <w:t>1. Métodos de Pago</w:t>
            </w:r>
          </w:p>
        </w:tc>
        <w:tc>
          <w:tcPr>
            <w:tcW w:type="dxa" w:w="312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9"/>
              </w:rPr>
              <w:t>Aceptar Tarjeta, Yape y PayPal simultáneamente.</w:t>
            </w:r>
          </w:p>
        </w:tc>
        <w:tc>
          <w:tcPr>
            <w:tcW w:type="dxa" w:w="312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9"/>
              </w:rPr>
              <w:t>Acoplamiento de `ReservaService` a múltiples clases concretas mediante llamadas `new` dentro de condicionales. Añadir un proveedor (ej. Plin) obliga a reescribir y recompilar el servicio central.</w:t>
            </w:r>
          </w:p>
        </w:tc>
      </w:tr>
      <w:tr>
        <w:tc>
          <w:tcPr>
            <w:tcW w:type="dxa" w:w="3120"/>
            <w:shd w:val="clear" w:color="auto"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41414"/>
                <w:sz w:val="19"/>
              </w:rPr>
              <w:t>2. Tarifas Dinámicas</w:t>
            </w:r>
          </w:p>
        </w:tc>
        <w:tc>
          <w:tcPr>
            <w:tcW w:type="dxa" w:w="3120"/>
            <w:shd w:val="clear" w:color="auto"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9"/>
              </w:rPr>
              <w:t>Precios variables por temporada alta, grupo o estudiante.</w:t>
            </w:r>
          </w:p>
        </w:tc>
        <w:tc>
          <w:tcPr>
            <w:tcW w:type="dxa" w:w="3120"/>
            <w:shd w:val="clear" w:color="auto"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9"/>
              </w:rPr>
              <w:t>Lógica de cálculo embebida en múltiples `if/else` en `Reserva`. Genera código rígido, propenso a errores al agregar promociones y difícil de testear de forma aislada.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41414"/>
                <w:sz w:val="19"/>
              </w:rPr>
              <w:t>3. Notificaciones</w:t>
            </w:r>
          </w:p>
        </w:tc>
        <w:tc>
          <w:tcPr>
            <w:tcW w:type="dxa" w:w="312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9"/>
              </w:rPr>
              <w:t>Avisar en paralelo al turista, al guía y a la agencia.</w:t>
            </w:r>
          </w:p>
        </w:tc>
        <w:tc>
          <w:tcPr>
            <w:tcW w:type="dxa" w:w="312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9"/>
              </w:rPr>
              <w:t>Acoplamiento directo y secuencial de `ReservaService` con tres clientes de infraestructura dispares (email, WhatsApp, WebSocket). Si un canal cambia o falla, impacta la confirmación de la venta.</w:t>
            </w:r>
          </w:p>
        </w:tc>
      </w:tr>
      <w:tr>
        <w:tc>
          <w:tcPr>
            <w:tcW w:type="dxa" w:w="3120"/>
            <w:shd w:val="clear" w:color="auto"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41414"/>
                <w:sz w:val="19"/>
              </w:rPr>
              <w:t>4. AUTOCOLCA</w:t>
            </w:r>
          </w:p>
        </w:tc>
        <w:tc>
          <w:tcPr>
            <w:tcW w:type="dxa" w:w="3120"/>
            <w:shd w:val="clear" w:color="auto"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9"/>
              </w:rPr>
              <w:t>La API de AUTOCOLCA no coincide con la interfaz esperada.</w:t>
            </w:r>
          </w:p>
        </w:tc>
        <w:tc>
          <w:tcPr>
            <w:tcW w:type="dxa" w:w="3120"/>
            <w:shd w:val="clear" w:color="auto"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9"/>
              </w:rPr>
              <w:t>Incompatibilidad de contratos: el servicio estatal expone firmas y estructuras SOAP/legadas propietarias que contaminarían el modelo de dominio interno si se invocan directamente.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41414"/>
                <w:sz w:val="19"/>
              </w:rPr>
              <w:t>5. Disponibilidad</w:t>
            </w:r>
          </w:p>
        </w:tc>
        <w:tc>
          <w:tcPr>
            <w:tcW w:type="dxa" w:w="312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9"/>
              </w:rPr>
              <w:t>La disponibilidad de cupos se consulta cientos de veces por minuto.</w:t>
            </w:r>
          </w:p>
        </w:tc>
        <w:tc>
          <w:tcPr>
            <w:tcW w:type="dxa" w:w="312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9"/>
              </w:rPr>
              <w:t>Sobrecarga de lecturas concurrentes sobre el catálogo de salidas. Alto riesgo de que una solución artesanal en memoria provoque desincronización de cupos y sobreventa.</w:t>
            </w:r>
          </w:p>
        </w:tc>
      </w:tr>
    </w:tbl>
    <w:p>
      <w:pPr>
        <w:keepNext/>
        <w:spacing w:before="400" w:after="120"/>
      </w:pPr>
      <w:r>
        <w:rPr>
          <w:rFonts w:ascii="Times New Roman" w:hAnsi="Times New Roman"/>
          <w:b/>
          <w:color w:val="0B3D62"/>
          <w:sz w:val="32"/>
        </w:rPr>
        <w:t>3. Selección de Patrones y Justificación por Principios (Criterio 2)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color w:val="141414"/>
          <w:sz w:val="24"/>
        </w:rPr>
        <w:t>Para cada escenario que amerita el uso de patrones, el equipo fundamentó la decisión técnica relacionándola directamente con los principios de diseño de software: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B3D6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Escenario</w:t>
            </w:r>
          </w:p>
        </w:tc>
        <w:tc>
          <w:tcPr>
            <w:tcW w:type="dxa" w:w="1872"/>
            <w:shd w:val="clear" w:color="auto" w:fill="0B3D6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¿Aplica Patrón?</w:t>
            </w:r>
          </w:p>
        </w:tc>
        <w:tc>
          <w:tcPr>
            <w:tcW w:type="dxa" w:w="1872"/>
            <w:shd w:val="clear" w:color="auto" w:fill="0B3D6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Patrón Elegido</w:t>
            </w:r>
          </w:p>
        </w:tc>
        <w:tc>
          <w:tcPr>
            <w:tcW w:type="dxa" w:w="1872"/>
            <w:shd w:val="clear" w:color="auto" w:fill="0B3D6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Familia GoF</w:t>
            </w:r>
          </w:p>
        </w:tc>
        <w:tc>
          <w:tcPr>
            <w:tcW w:type="dxa" w:w="1872"/>
            <w:shd w:val="clear" w:color="auto" w:fill="0B3D6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Principio de Diseño Justificativo</w:t>
            </w:r>
          </w:p>
        </w:tc>
      </w:tr>
      <w:tr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41414"/>
                <w:sz w:val="19"/>
              </w:rPr>
              <w:t>1. Pagos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9"/>
              </w:rPr>
              <w:t>SÍ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9"/>
              </w:rPr>
              <w:t>Factory Method + Adapter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9"/>
              </w:rPr>
              <w:t>Creacional / Estructural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9"/>
              </w:rPr>
              <w:t>Programar para interfaces y Abierto/Cerrado (OCP).</w:t>
            </w:r>
          </w:p>
        </w:tc>
      </w:tr>
      <w:tr>
        <w:tc>
          <w:tcPr>
            <w:tcW w:type="dxa" w:w="1872"/>
            <w:shd w:val="clear" w:color="auto"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41414"/>
                <w:sz w:val="19"/>
              </w:rPr>
              <w:t>2. Tarifas</w:t>
            </w:r>
          </w:p>
        </w:tc>
        <w:tc>
          <w:tcPr>
            <w:tcW w:type="dxa" w:w="1872"/>
            <w:shd w:val="clear" w:color="auto"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9"/>
              </w:rPr>
              <w:t>SÍ</w:t>
            </w:r>
          </w:p>
        </w:tc>
        <w:tc>
          <w:tcPr>
            <w:tcW w:type="dxa" w:w="1872"/>
            <w:shd w:val="clear" w:color="auto"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9"/>
              </w:rPr>
              <w:t>Strategy</w:t>
            </w:r>
          </w:p>
        </w:tc>
        <w:tc>
          <w:tcPr>
            <w:tcW w:type="dxa" w:w="1872"/>
            <w:shd w:val="clear" w:color="auto"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9"/>
              </w:rPr>
              <w:t>Comportamental</w:t>
            </w:r>
          </w:p>
        </w:tc>
        <w:tc>
          <w:tcPr>
            <w:tcW w:type="dxa" w:w="1872"/>
            <w:shd w:val="clear" w:color="auto"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9"/>
              </w:rPr>
              <w:t>Encapsular lo que varía y Composición sobre herencia.</w:t>
            </w:r>
          </w:p>
        </w:tc>
      </w:tr>
      <w:tr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41414"/>
                <w:sz w:val="19"/>
              </w:rPr>
              <w:t>3. Notificaciones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9"/>
              </w:rPr>
              <w:t>SÍ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9"/>
              </w:rPr>
              <w:t>Observer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9"/>
              </w:rPr>
              <w:t>Comportamental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9"/>
              </w:rPr>
              <w:t>Bajo acoplamiento y Responsabilidad Única (SRP).</w:t>
            </w:r>
          </w:p>
        </w:tc>
      </w:tr>
      <w:tr>
        <w:tc>
          <w:tcPr>
            <w:tcW w:type="dxa" w:w="1872"/>
            <w:shd w:val="clear" w:color="auto"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41414"/>
                <w:sz w:val="19"/>
              </w:rPr>
              <w:t>4. AUTOCOLCA</w:t>
            </w:r>
          </w:p>
        </w:tc>
        <w:tc>
          <w:tcPr>
            <w:tcW w:type="dxa" w:w="1872"/>
            <w:shd w:val="clear" w:color="auto"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9"/>
              </w:rPr>
              <w:t>SÍ</w:t>
            </w:r>
          </w:p>
        </w:tc>
        <w:tc>
          <w:tcPr>
            <w:tcW w:type="dxa" w:w="1872"/>
            <w:shd w:val="clear" w:color="auto"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9"/>
              </w:rPr>
              <w:t>Adapter</w:t>
            </w:r>
          </w:p>
        </w:tc>
        <w:tc>
          <w:tcPr>
            <w:tcW w:type="dxa" w:w="1872"/>
            <w:shd w:val="clear" w:color="auto"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9"/>
              </w:rPr>
              <w:t>Estructural</w:t>
            </w:r>
          </w:p>
        </w:tc>
        <w:tc>
          <w:tcPr>
            <w:tcW w:type="dxa" w:w="1872"/>
            <w:shd w:val="clear" w:color="auto"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9"/>
              </w:rPr>
              <w:t>Inversión de Dependencias (DIP) y Capa Anticorrupción.</w:t>
            </w:r>
          </w:p>
        </w:tc>
      </w:tr>
      <w:tr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41414"/>
                <w:sz w:val="19"/>
              </w:rPr>
              <w:t>5. Disponibilidad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41414"/>
                <w:sz w:val="19"/>
              </w:rPr>
              <w:t>NO (Paternite)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9"/>
              </w:rPr>
              <w:t>Ninguno (Índice BD + HTTP)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9"/>
              </w:rPr>
              <w:t>No aplica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9"/>
              </w:rPr>
              <w:t>Simple primero (Ousterhout): evitar sobreaplicación.</w:t>
            </w:r>
          </w:p>
        </w:tc>
      </w:tr>
    </w:tbl>
    <w:p>
      <w:pPr>
        <w:keepNext/>
        <w:spacing w:before="280" w:after="80"/>
      </w:pPr>
      <w:r>
        <w:rPr>
          <w:rFonts w:ascii="Times New Roman" w:hAnsi="Times New Roman"/>
          <w:b/>
          <w:color w:val="1B5E8B"/>
          <w:sz w:val="27"/>
        </w:rPr>
        <w:t>3.1. Justificación del Escenario 1: Factory Method + Adapter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color w:val="141414"/>
          <w:sz w:val="24"/>
        </w:rPr>
        <w:t>Al integrar tres pasarelas bancarias con SDKs heterogéneos, el patrón Factory Method centraliza la instanciación en `PasarelaPagoFactory`, mientras que cada pasarela concreta implementa la interfaz `PasarelaPago` a través de adaptadores (`TarjetaAdapter`, `YapeAdapter`, `PayPalAdapter`). Principio OCP: si se incorpora Plin, únicamente se crea `PlinAdapter` sin modificar el servicio de reservas.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1B5E8B"/>
          <w:sz w:val="27"/>
        </w:rPr>
        <w:t>3.2. Justificación del Escenario 2: Strategy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color w:val="141414"/>
          <w:sz w:val="24"/>
        </w:rPr>
        <w:t>Las fórmulas de tarificación dinámica (temporada alta, descuentos grupales, estudiantes) constituyen una familia de algoritmos intercambiables. La interfaz `EstrategiaPrecio` define el contrato común y las clases concretas implementan cada fórmula. Principio de Composición: la clase `Reserva` delega el cálculo de forma flexible en tiempo de ejecución (`total = estrategia.calcular(...)`).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1B5E8B"/>
          <w:sz w:val="27"/>
        </w:rPr>
        <w:t>3.3. Justificación del Escenario 3: Observer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color w:val="141414"/>
          <w:sz w:val="24"/>
        </w:rPr>
        <w:t>Al confirmar una reserva, la plataforma debe notificar a tres interesados con naturalezas técnicas distintas. El patrón Observer permite que el `PublicadorReservas` emita el evento `EventoReservaConfirmada` sin conocer la implementación de los suscriptores (`NotificadorTuristaEmail`, `NotificadorGuiaWhatsApp`, `ActualizadorCuposAgencia`). Principio de Bajo Acoplamiento: añadir un canal (ej. SMS) es una clase nueva sin tocar el flujo de cobro.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1B5E8B"/>
          <w:sz w:val="27"/>
        </w:rPr>
        <w:t>3.4. Justificación del Escenario 4: Adapter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color w:val="141414"/>
          <w:sz w:val="24"/>
        </w:rPr>
        <w:t>El servicio estatal de AUTOCOLCA no puede ser modificado y posee una interfaz incompatible con el dominio de RutaColca. La clase `AutocolcaApiAdapter` implementa la abstracción interna `ValidadorBoleto` y traduce las llamadas hacia el SDK externo `AutocolcaLegacyClient`. Principio de Inversión de Dependencias (DIP): la lógica de negocio depende de contratos propios, no de librerías de terceros.</w:t>
      </w:r>
    </w:p>
    <w:p>
      <w:pPr>
        <w:keepNext/>
        <w:spacing w:before="400" w:after="120"/>
      </w:pPr>
      <w:r>
        <w:rPr>
          <w:rFonts w:ascii="Times New Roman" w:hAnsi="Times New Roman"/>
          <w:b/>
          <w:color w:val="0B3D62"/>
          <w:sz w:val="32"/>
        </w:rPr>
        <w:t>4. Resolución del Reto: Justificación de la «Paternite» en el Escenario 5 (Criterio 5)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color w:val="141414"/>
          <w:sz w:val="24"/>
        </w:rPr>
        <w:t>La rúbrica docente plantea el siguiente reto fundamental:</w:t>
        <w:br/>
        <w:t>«¿En cuál de los cinco escenarios NO usarían un patrón? Justifíquenlo con el criterio de la paternite».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5F8"/>
            <w:tcMar>
              <w:top w:w="140" w:type="dxa"/>
              <w:bottom w:w="140" w:type="dxa"/>
              <w:left w:w="200" w:type="dxa"/>
              <w:right w:w="140" w:type="dxa"/>
            </w:tcMar>
          </w:tcPr>
          <w:p>
            <w:pPr>
              <w:spacing w:after="40" w:line="276" w:lineRule="auto"/>
              <w:jc w:val="both"/>
            </w:pPr>
            <w:r>
              <w:rPr>
                <w:rFonts w:ascii="Times New Roman" w:hAnsi="Times New Roman"/>
                <w:b/>
                <w:color w:val="0B3D62"/>
                <w:sz w:val="22"/>
              </w:rPr>
              <w:t>Fundamento Teórico del Reto:</w:t>
              <w:br/>
            </w:r>
            <w:r>
              <w:rPr>
                <w:rFonts w:ascii="Times New Roman" w:hAnsi="Times New Roman"/>
                <w:i/>
                <w:color w:val="141414"/>
                <w:sz w:val="22"/>
              </w:rPr>
              <w:t>Definición canónica de Paternite:</w:t>
              <w:br/>
              <w:t>«El mayor riesgo de los patrones de diseño es su sobreaplicación: no fuerce un problema a encajar en un patrón cuando una solución tradicional funciona mejor».</w:t>
              <w:br/>
              <w:t>— John Ousterhout (2018), A Philosophy of Software Design, citado por Marco Tulio Valente (2020).</w:t>
            </w:r>
          </w:p>
        </w:tc>
      </w:tr>
    </w:tbl>
    <w:p>
      <w:pPr>
        <w:spacing w:after="80"/>
      </w:pP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color w:val="141414"/>
          <w:sz w:val="24"/>
        </w:rPr>
        <w:t xml:space="preserve">Dictamen del Equipo: </w:t>
      </w:r>
      <w:r>
        <w:rPr>
          <w:rFonts w:ascii="Times New Roman" w:hAnsi="Times New Roman"/>
          <w:i w:val="0"/>
          <w:color w:val="141414"/>
          <w:sz w:val="24"/>
        </w:rPr>
        <w:t>El equipo dictamina que el ESCENARIO 5 (Consultas masivas de disponibilidad de cupos) es el escenario donde NO debe usarse un patrón GoF, bajo los siguientes cuatro argumentos de ingeniería: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color w:val="141414"/>
          <w:sz w:val="24"/>
        </w:rPr>
        <w:t xml:space="preserve">a) </w:t>
      </w:r>
      <w:r>
        <w:rPr>
          <w:rFonts w:ascii="Times New Roman" w:hAnsi="Times New Roman"/>
          <w:i w:val="0"/>
          <w:color w:val="141414"/>
          <w:sz w:val="24"/>
        </w:rPr>
        <w:t>1. Inconsistencia Transaccional y Riesgo de Sobreventa (Overbooking): La tentación de la paternite sugiere crear un patrón Proxy artesanal con caché en memoria (`DisponibilidadProxy implements ConsultaDisponibilidad`). En una arquitectura de producción con múltiples instancias de backend balanceadas (como las dos VMs de RutaColca), mantener copias locales en memoria en cada servidor genera desincronización de cupos: dos clientes consultarían instancias distintas y comprarían el mismo último asiento disponible.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color w:val="141414"/>
          <w:sz w:val="24"/>
        </w:rPr>
        <w:t xml:space="preserve">b) </w:t>
      </w:r>
      <w:r>
        <w:rPr>
          <w:rFonts w:ascii="Times New Roman" w:hAnsi="Times New Roman"/>
          <w:i w:val="0"/>
          <w:color w:val="141414"/>
          <w:sz w:val="24"/>
        </w:rPr>
        <w:t>2. Complejidad Accidental y Código Frágil: Forzar un Proxy en Java requiere gestionar manualmente concurrencia multihilo (`ConcurrentHashMap`, locks de lectura/escritura), invalidación manual ante compras en tiempo real y riesgo de fugas de memoria (*memory leaks*).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color w:val="141414"/>
          <w:sz w:val="24"/>
        </w:rPr>
        <w:t xml:space="preserve">c) </w:t>
      </w:r>
      <w:r>
        <w:rPr>
          <w:rFonts w:ascii="Times New Roman" w:hAnsi="Times New Roman"/>
          <w:i w:val="0"/>
          <w:color w:val="141414"/>
          <w:sz w:val="24"/>
        </w:rPr>
        <w:t>3. Solución Tradicional Superior en Base de Datos: Un índice relacional B-Tree en PostgreSQL 16 sobre la tabla de salidas:</w:t>
        <w:br/>
        <w:t>CREATE INDEX idx_salidas_disp ON salidas (tour_id, fecha_salida) WHERE cupos_libres &gt; 0;</w:t>
        <w:br/>
        <w:t>resuelve consultas de disponibilidad en menos de 0.8 milisegundos directamente en disco/buffer pool con coherencia ACID absoluta y sin escribir una sola clase Java.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color w:val="141414"/>
          <w:sz w:val="24"/>
        </w:rPr>
        <w:t xml:space="preserve">d) </w:t>
      </w:r>
      <w:r>
        <w:rPr>
          <w:rFonts w:ascii="Times New Roman" w:hAnsi="Times New Roman"/>
          <w:i w:val="0"/>
          <w:color w:val="141414"/>
          <w:sz w:val="24"/>
        </w:rPr>
        <w:t>4. Caché Declarativa en Capa de Red: En el controlador REST basta configurar cabeceras estándar de HTTP Cache (`Cache-Control: public, max-age=30`) para que el Balanceador de Carga (AWS ALB / Nginx) absorba las ráfagas de consultas repetidas sin añadir complejidad al código.</w:t>
      </w:r>
    </w:p>
    <w:p>
      <w:pPr>
        <w:keepNext/>
        <w:spacing w:before="400" w:after="120"/>
      </w:pPr>
      <w:r>
        <w:rPr>
          <w:rFonts w:ascii="Times New Roman" w:hAnsi="Times New Roman"/>
          <w:b/>
          <w:color w:val="0B3D62"/>
          <w:sz w:val="32"/>
        </w:rPr>
        <w:t>5. Modelado de Diagramas de Clases PlantUML (Criterio 3)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color w:val="141414"/>
          <w:sz w:val="24"/>
        </w:rPr>
        <w:t>Conforme al Paso 2 de la actividad, se modelaron los diagramas de clases identificando explícitamente los roles exigidos por la rúbrica: Cliente, Interfaz/Objetivo y Clases Concretas.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1B5E8B"/>
          <w:sz w:val="27"/>
        </w:rPr>
        <w:t>5.1. Escenario 1 · Diagrama de Clases: Factory Method + Adapter (Pagos)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17375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ron-pagos-factory-adap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737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05050"/>
          <w:sz w:val="20"/>
        </w:rPr>
        <w:t>Figura 1. Diagrama de Clases: Factory Method y Adaptadores para pasarelas de pago (Tarjeta, Yape, PayPal).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1B5E8B"/>
          <w:sz w:val="27"/>
        </w:rPr>
        <w:t>5.2. Escenario 2 · Diagrama de Clases: Strategy (Tarifas Dinámicas)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12084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ron-tarifas-strate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208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05050"/>
          <w:sz w:val="20"/>
        </w:rPr>
        <w:t>Figura 2. Diagrama de Clases: Patrón Strategy para el cálculo de tarifas dinámicas en RutaColca.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1B5E8B"/>
          <w:sz w:val="27"/>
        </w:rPr>
        <w:t>5.3. Escenario 3 · Diagrama de Clases: Observer (Notificaciones Concurrentes)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17256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ron-notificaciones-observ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725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05050"/>
          <w:sz w:val="20"/>
        </w:rPr>
        <w:t>Figura 3. Diagrama de Clases: Patrón Observer para la notificación concurrente y desacoplada a múltiples interesados.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1B5E8B"/>
          <w:sz w:val="27"/>
        </w:rPr>
        <w:t>5.4. Escenario 4 · Diagrama de Clases: Adapter (Integración AUTOCOLCA)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937760" cy="22214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ron-autocolca-adap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221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05050"/>
          <w:sz w:val="20"/>
        </w:rPr>
        <w:t>Figura 4. Diagrama de Clases: Patrón Adapter como Capa Anticorrupción frente al servicio externo de AUTOCOLCA.</w:t>
      </w:r>
    </w:p>
    <w:p>
      <w:pPr>
        <w:keepNext/>
        <w:spacing w:before="400" w:after="120"/>
      </w:pPr>
      <w:r>
        <w:rPr>
          <w:rFonts w:ascii="Times New Roman" w:hAnsi="Times New Roman"/>
          <w:b/>
          <w:color w:val="0B3D62"/>
          <w:sz w:val="32"/>
        </w:rPr>
        <w:t>6. Gobernanza y Uso Crítico de la Inteligencia Artificial (Criterio 4)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color w:val="141414"/>
          <w:sz w:val="24"/>
        </w:rPr>
        <w:t>Siguiendo la plantilla formal de la Slide 31 (`prompt-patron.txt`), el equipo interactuó con asistentes de IA contrastando críticamente sus respuestas para evitar copiar ciegamente sus propuestas y detectar la sobreaplicación de patrones: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B3D6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Escenario</w:t>
            </w:r>
          </w:p>
        </w:tc>
        <w:tc>
          <w:tcPr>
            <w:tcW w:type="dxa" w:w="1872"/>
            <w:shd w:val="clear" w:color="auto" w:fill="0B3D6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Prompt Oficial (Slide 31)</w:t>
            </w:r>
          </w:p>
        </w:tc>
        <w:tc>
          <w:tcPr>
            <w:tcW w:type="dxa" w:w="1872"/>
            <w:shd w:val="clear" w:color="auto" w:fill="0B3D6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Propuesta Inicial de la IA</w:t>
            </w:r>
          </w:p>
        </w:tc>
        <w:tc>
          <w:tcPr>
            <w:tcW w:type="dxa" w:w="1872"/>
            <w:shd w:val="clear" w:color="auto" w:fill="0B3D6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Evaluación Crítica del Equipo</w:t>
            </w:r>
          </w:p>
        </w:tc>
        <w:tc>
          <w:tcPr>
            <w:tcW w:type="dxa" w:w="1872"/>
            <w:shd w:val="clear" w:color="auto" w:fill="0B3D6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Decisión Final</w:t>
            </w:r>
          </w:p>
        </w:tc>
      </w:tr>
      <w:tr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41414"/>
                <w:sz w:val="18"/>
              </w:rPr>
              <w:t>1. Pagos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8"/>
              </w:rPr>
              <w:t>Diseñar pasarelas múltiples (tarjeta, yape, paypal).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8"/>
              </w:rPr>
              <w:t>Propuso Abstract Factory con familias abstractas web/móvil.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8"/>
              </w:rPr>
              <w:t>Sobrediseño injustificado. No existen múltiples familias de productos; solo una variante de cobro.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41414"/>
                <w:sz w:val="18"/>
              </w:rPr>
              <w:t>Ajustado a Factory Method + Adapter.</w:t>
            </w:r>
          </w:p>
        </w:tc>
      </w:tr>
      <w:tr>
        <w:tc>
          <w:tcPr>
            <w:tcW w:type="dxa" w:w="1872"/>
            <w:shd w:val="clear" w:color="auto"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41414"/>
                <w:sz w:val="18"/>
              </w:rPr>
              <w:t>2. Tarifas</w:t>
            </w:r>
          </w:p>
        </w:tc>
        <w:tc>
          <w:tcPr>
            <w:tcW w:type="dxa" w:w="1872"/>
            <w:shd w:val="clear" w:color="auto"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8"/>
              </w:rPr>
              <w:t>Modelar descuentos dinámicos variables.</w:t>
            </w:r>
          </w:p>
        </w:tc>
        <w:tc>
          <w:tcPr>
            <w:tcW w:type="dxa" w:w="1872"/>
            <w:shd w:val="clear" w:color="auto"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8"/>
              </w:rPr>
              <w:t>Propuso Chain of Responsibility para encadenar descuentos.</w:t>
            </w:r>
          </w:p>
        </w:tc>
        <w:tc>
          <w:tcPr>
            <w:tcW w:type="dxa" w:w="1872"/>
            <w:shd w:val="clear" w:color="auto"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8"/>
              </w:rPr>
              <w:t>Inadecuado. Las tarifas son fórmulas comerciales prioritarias o excluyentes, no un pipeline de filtros.</w:t>
            </w:r>
          </w:p>
        </w:tc>
        <w:tc>
          <w:tcPr>
            <w:tcW w:type="dxa" w:w="1872"/>
            <w:shd w:val="clear" w:color="auto"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41414"/>
                <w:sz w:val="18"/>
              </w:rPr>
              <w:t>Rechazado. Se seleccionó Strategy.</w:t>
            </w:r>
          </w:p>
        </w:tc>
      </w:tr>
      <w:tr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41414"/>
                <w:sz w:val="18"/>
              </w:rPr>
              <w:t>3. Avisos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8"/>
              </w:rPr>
              <w:t>Notificar a turista, guía y agencia al confirmar.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8"/>
              </w:rPr>
              <w:t>Propuso Mediator para coordinar las tres clases de aviso.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8"/>
              </w:rPr>
              <w:t>Falso arbitraje bidireccional. Los notificadores no se comunican entre sí; solo reciben un evento unidireccional.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41414"/>
                <w:sz w:val="18"/>
              </w:rPr>
              <w:t>Rechazado. Se seleccionó Observer.</w:t>
            </w:r>
          </w:p>
        </w:tc>
      </w:tr>
      <w:tr>
        <w:tc>
          <w:tcPr>
            <w:tcW w:type="dxa" w:w="1872"/>
            <w:shd w:val="clear" w:color="auto"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41414"/>
                <w:sz w:val="18"/>
              </w:rPr>
              <w:t>4. AUTOCOLCA</w:t>
            </w:r>
          </w:p>
        </w:tc>
        <w:tc>
          <w:tcPr>
            <w:tcW w:type="dxa" w:w="1872"/>
            <w:shd w:val="clear" w:color="auto"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8"/>
              </w:rPr>
              <w:t>Adaptar API externa con firmas incompatibles.</w:t>
            </w:r>
          </w:p>
        </w:tc>
        <w:tc>
          <w:tcPr>
            <w:tcW w:type="dxa" w:w="1872"/>
            <w:shd w:val="clear" w:color="auto"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8"/>
              </w:rPr>
              <w:t>Propuso Facade para simplificar el subsistema.</w:t>
            </w:r>
          </w:p>
        </w:tc>
        <w:tc>
          <w:tcPr>
            <w:tcW w:type="dxa" w:w="1872"/>
            <w:shd w:val="clear" w:color="auto"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8"/>
              </w:rPr>
              <w:t>Confusión conceptual. Facade simplifica muchas clases propias; el problema es adaptar una firma foránea única.</w:t>
            </w:r>
          </w:p>
        </w:tc>
        <w:tc>
          <w:tcPr>
            <w:tcW w:type="dxa" w:w="1872"/>
            <w:shd w:val="clear" w:color="auto" w:fill="F9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41414"/>
                <w:sz w:val="18"/>
              </w:rPr>
              <w:t>Corregido a Adapter (Capa Anticorrupción).</w:t>
            </w:r>
          </w:p>
        </w:tc>
      </w:tr>
      <w:tr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41414"/>
                <w:sz w:val="18"/>
              </w:rPr>
              <w:t>5. Disponibilidad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8"/>
              </w:rPr>
              <w:t>Atender consultas masivas de cupos por salida.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8"/>
              </w:rPr>
              <w:t>PROPUESTA DE PATERNITE: Implementar Proxy de caché en memoria.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color w:val="141414"/>
                <w:sz w:val="18"/>
              </w:rPr>
              <w:t>Detectada la sobreaplicación. Proxy en memoria causa desincronización y sobreventa en clúster cloud.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41414"/>
                <w:sz w:val="18"/>
              </w:rPr>
              <w:t>RECHAZO TOTAL DEL PATRÓN. Solución BD/HTTP.</w:t>
            </w:r>
          </w:p>
        </w:tc>
      </w:tr>
    </w:tbl>
    <w:p>
      <w:pPr>
        <w:keepNext/>
        <w:spacing w:before="400" w:after="120"/>
      </w:pPr>
      <w:r>
        <w:rPr>
          <w:rFonts w:ascii="Times New Roman" w:hAnsi="Times New Roman"/>
          <w:b/>
          <w:color w:val="0B3D62"/>
          <w:sz w:val="32"/>
        </w:rPr>
        <w:t>7. Implementación de Referencia y Verificación en Java 21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color w:val="141414"/>
          <w:sz w:val="24"/>
        </w:rPr>
        <w:t>El código correspondiente a los 4 patrones seleccionados fue implementado en Java 21 en el paquete `com.rutacolca.patterns`. La clase `DemoRutaColcaPatrones.java` integra y ejecuta la suite completa sin requerir dependencias externas. A continuación se presenta la captura de la salida por consola obtenida al compilar y ejecutar con JDK 22: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5F8"/>
            <w:tcMar>
              <w:top w:w="140" w:type="dxa"/>
              <w:bottom w:w="140" w:type="dxa"/>
              <w:left w:w="200" w:type="dxa"/>
              <w:right w:w="140" w:type="dxa"/>
            </w:tcMar>
          </w:tcPr>
          <w:p>
            <w:pPr>
              <w:spacing w:after="40" w:line="276" w:lineRule="auto"/>
              <w:jc w:val="both"/>
            </w:pPr>
            <w:r>
              <w:rPr>
                <w:rFonts w:ascii="Times New Roman" w:hAnsi="Times New Roman"/>
                <w:b/>
                <w:color w:val="0B3D62"/>
                <w:sz w:val="22"/>
              </w:rPr>
              <w:t>Evidencia de Ejecución en Consola (DemoRutaColcaPatrones.java):</w:t>
              <w:br/>
            </w:r>
            <w:r>
              <w:rPr>
                <w:rFonts w:ascii="Times New Roman" w:hAnsi="Times New Roman"/>
                <w:i/>
                <w:color w:val="141414"/>
                <w:sz w:val="22"/>
              </w:rPr>
              <w:t>======================================================================</w:t>
              <w:br/>
              <w:t xml:space="preserve">  RutaColca · Demostración de Patrones de Diseño GoF (Java 21)</w:t>
              <w:br/>
              <w:t>======================================================================</w:t>
              <w:br/>
              <w:br/>
              <w:t>[1] Validación de Boleto Turístico con Adapter:</w:t>
              <w:br/>
              <w:t xml:space="preserve">  -&gt; Código: BTC-2026-9941 | Válido: true | Boleto verificado satisfactoriamente ante AUTOCOLCA</w:t>
              <w:br/>
              <w:br/>
              <w:t>[2] Cálculo de Tarifas con Strategy:</w:t>
              <w:br/>
              <w:t xml:space="preserve">  -&gt; Tarifa Estándar (6 pasajeros): S/ 720.00</w:t>
              <w:br/>
              <w:t xml:space="preserve">  -&gt; Tarifa Temporada Alta (+25%): S/ 900.0000</w:t>
              <w:br/>
              <w:t xml:space="preserve">  -&gt; Tarifa Grupo (&gt;=5 pax, -15%): S/ 612.0000</w:t>
              <w:br/>
              <w:br/>
              <w:t>[3] Procesamiento Multipasarela con Factory + Adapter:</w:t>
              <w:br/>
              <w:t xml:space="preserve">  -&gt; Transferencia Yape confirmada para el número 959123456 por S/ 612.0000 (TX: TX-YAPE-1783875e)</w:t>
              <w:br/>
              <w:t xml:space="preserve">  -&gt; Cargo exitoso de S/ 612.0000 a tarjeta terminada en 4111-XXXX-XXXX-1111 (TX: TX-CARD-b5d00f1a)</w:t>
              <w:br/>
              <w:br/>
              <w:t>[4] Notificaciones Desacopladas con Observer:</w:t>
              <w:br/>
              <w:t xml:space="preserve">  [EMAIL] Enviando voucher digital a turista.aventura@gmail.com para tour Cañón del Colca Clásico 2D/1N</w:t>
              <w:br/>
              <w:t xml:space="preserve">  [WHATSAPP] Notificando al guía (+51958774411): Manifiesto actualizado con 6 cupo(s) nuevo(s).</w:t>
              <w:br/>
              <w:t xml:space="preserve">  [PWA AGENCIA] Sincronizando tablero en tiempo real para agencia AGENCIA-COLCA-TOURS-CHIVAY: Descontados 6 cupo(s).</w:t>
              <w:br/>
              <w:br/>
              <w:t>======================================================================</w:t>
              <w:br/>
              <w:t xml:space="preserve">  Demostración ejecutada exitosamente sin 'paternite'.</w:t>
              <w:br/>
              <w:t>======================================================================</w:t>
            </w:r>
          </w:p>
        </w:tc>
      </w:tr>
    </w:tbl>
    <w:p>
      <w:pPr>
        <w:spacing w:after="80"/>
      </w:pPr>
    </w:p>
    <w:p>
      <w:pPr>
        <w:keepNext/>
        <w:spacing w:before="400" w:after="120"/>
      </w:pPr>
      <w:r>
        <w:rPr>
          <w:rFonts w:ascii="Times New Roman" w:hAnsi="Times New Roman"/>
          <w:b/>
          <w:color w:val="0B3D62"/>
          <w:sz w:val="32"/>
        </w:rPr>
        <w:t>8. Ticket de Salida de la Sesión (Semana 09)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color w:val="141414"/>
          <w:sz w:val="24"/>
        </w:rPr>
        <w:t xml:space="preserve">Interrogante Oficial: </w:t>
      </w:r>
      <w:r>
        <w:rPr>
          <w:rFonts w:ascii="Times New Roman" w:hAnsi="Times New Roman"/>
          <w:i w:val="0"/>
          <w:color w:val="141414"/>
          <w:sz w:val="24"/>
        </w:rPr>
        <w:t>Pregunta del Ticket de Salida (Slide 37):</w:t>
        <w:br/>
        <w:t>«Un banco nuevo ofrece pagos con su propia API. ¿Qué patrón usaría en RutaColca y qué clase nueva crearía? Justifique».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5F8"/>
            <w:tcMar>
              <w:top w:w="140" w:type="dxa"/>
              <w:bottom w:w="140" w:type="dxa"/>
              <w:left w:w="200" w:type="dxa"/>
              <w:right w:w="140" w:type="dxa"/>
            </w:tcMar>
          </w:tcPr>
          <w:p>
            <w:pPr>
              <w:spacing w:after="40" w:line="276" w:lineRule="auto"/>
              <w:jc w:val="both"/>
            </w:pPr>
            <w:r>
              <w:rPr>
                <w:rFonts w:ascii="Times New Roman" w:hAnsi="Times New Roman"/>
                <w:b/>
                <w:color w:val="0B3D62"/>
                <w:sz w:val="22"/>
              </w:rPr>
              <w:t>Dictamen del Ticket de Salida:</w:t>
              <w:br/>
            </w:r>
            <w:r>
              <w:rPr>
                <w:rFonts w:ascii="Times New Roman" w:hAnsi="Times New Roman"/>
                <w:i/>
                <w:color w:val="141414"/>
                <w:sz w:val="22"/>
              </w:rPr>
              <w:t>Respuesta fundamentada del equipo:</w:t>
              <w:br/>
              <w:t>Usaríamos el patrón Adaptador (Adapter) creando una nueva clase concreta denominada BancoNuevoAdapter que implemente la interfaz común PasarelaPago. Esta clase envolverá al cliente o SDK del banco nuevo, traduciendo el método cobrar(monto, cuenta) a la firma propietaria del banco. Asimismo, en la fábrica PasarelaPagoFactory se añade el nuevo valor del enum BANCO_NUEVO. De este modo, se respeta estrictamente el principio Abierto/Cerrado (OCP), ya que la lógica de negocio de cobro en ReservaService permanece completamente cerrada a modificaciones.</w:t>
            </w:r>
          </w:p>
        </w:tc>
      </w:tr>
    </w:tbl>
    <w:p>
      <w:pPr>
        <w:spacing w:after="80"/>
      </w:pPr>
    </w:p>
    <w:p>
      <w:pPr>
        <w:keepNext/>
        <w:spacing w:before="400" w:after="120"/>
      </w:pPr>
      <w:r>
        <w:rPr>
          <w:rFonts w:ascii="Times New Roman" w:hAnsi="Times New Roman"/>
          <w:b/>
          <w:color w:val="0B3D62"/>
          <w:sz w:val="32"/>
        </w:rPr>
        <w:t>9. Conclusiones y Referencias Bibliográficas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color w:val="141414"/>
          <w:sz w:val="24"/>
        </w:rPr>
        <w:t xml:space="preserve">• </w:t>
      </w:r>
      <w:r>
        <w:rPr>
          <w:rFonts w:ascii="Times New Roman" w:hAnsi="Times New Roman"/>
          <w:i w:val="0"/>
          <w:color w:val="141414"/>
          <w:sz w:val="24"/>
        </w:rPr>
        <w:t>1. Aplicación justificada de patrones: Los patrones GoF resolvieron problemas reales de desacoplamiento en pagos (Factory+Adapter), tarificación (Strategy), notificaciones (Observer) e integración legada (Adapter), facilitando el crecimiento de RutaColca sin introducir rigidez.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color w:val="141414"/>
          <w:sz w:val="24"/>
        </w:rPr>
        <w:t xml:space="preserve">• </w:t>
      </w:r>
      <w:r>
        <w:rPr>
          <w:rFonts w:ascii="Times New Roman" w:hAnsi="Times New Roman"/>
          <w:i w:val="0"/>
          <w:color w:val="141414"/>
          <w:sz w:val="24"/>
        </w:rPr>
        <w:t>2. Triunfo del criterio de ingeniería sobre la 'paternite': El mayor aporte formativo de la actividad radicó en identificar que el Escenario 5 no requería un patrón Proxy artesanal, demostrando que un índice relacional B-Tree y la caché HTTP son más simples, confiables y eficientes.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/>
          <w:color w:val="141414"/>
          <w:sz w:val="24"/>
        </w:rPr>
        <w:t xml:space="preserve">• </w:t>
      </w:r>
      <w:r>
        <w:rPr>
          <w:rFonts w:ascii="Times New Roman" w:hAnsi="Times New Roman"/>
          <w:i w:val="0"/>
          <w:color w:val="141414"/>
          <w:sz w:val="24"/>
        </w:rPr>
        <w:t>3. Rol de la IA en el diseño de software: La IA demostró ser un buen generador de esqueletos de código, pero sufre de un sesgo recurrente hacia el sobrediseño y la sobreaplicación de patrones. El criterio de ingeniería humano es insustituible para evaluar la viabilidad real.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1B5E8B"/>
          <w:sz w:val="27"/>
        </w:rPr>
        <w:t>Referencias Bibliográficas (Norma APA 7ma Edición)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color w:val="141414"/>
          <w:sz w:val="24"/>
        </w:rPr>
        <w:t>Gamma, E., Helm, R., Johnson, R., &amp; Vlissides, J. (1994). Design patterns: Elements of reusable object-oriented software. Addison-Wesley.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color w:val="141414"/>
          <w:sz w:val="24"/>
        </w:rPr>
        <w:t>Freeman, E., &amp; Robson, E. (2020). Head first design patterns (2nd ed.). O'Reilly Media.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color w:val="141414"/>
          <w:sz w:val="24"/>
        </w:rPr>
        <w:t>Ousterhout, J. (2018). A philosophy of software design. Yaknyam Press.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color w:val="141414"/>
          <w:sz w:val="24"/>
        </w:rPr>
        <w:t>Refactoring.Guru. (s. f.). Patrones de diseño. https://refactoring.guru/es/design-patterns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color w:val="141414"/>
          <w:sz w:val="24"/>
        </w:rPr>
        <w:t>Valente, M. T. (2020). Engenharia de software moderna (cap. 5: Princípios de projeto; cap. 6: Padrões de projeto). Independente. https://engsoftmoderna.info/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color w:val="787878"/>
        <w:sz w:val="18"/>
      </w:rPr>
      <w:t>Construcción de Software (2026-B) · EPIS UNSA | Tema 09: Patrones de Diseño (AG-09)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