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40"/>
        <w:jc w:val="center"/>
      </w:pPr>
      <w:r>
        <w:rPr>
          <w:rFonts w:ascii="Times New Roman" w:hAnsi="Times New Roman"/>
          <w:b/>
          <w:color w:val="0B3D62"/>
          <w:sz w:val="32"/>
        </w:rPr>
        <w:t>UNIVERSIDAD NACIONAL DE SAN AGUSTÍN DE AREQUIPA</w:t>
      </w:r>
    </w:p>
    <w:p>
      <w:pPr>
        <w:spacing w:after="400"/>
        <w:jc w:val="center"/>
      </w:pPr>
      <w:r>
        <w:rPr>
          <w:rFonts w:ascii="Times New Roman" w:hAnsi="Times New Roman"/>
          <w:b/>
          <w:color w:val="1B5E8B"/>
          <w:sz w:val="26"/>
        </w:rPr>
        <w:t>FACULTAD DE INGENIERÍA DE PRODUCCIÓN Y SERVICIOS</w:t>
        <w:br/>
        <w:t>ESCUELA PROFESIONAL DE INGENIERÍA DE SISTEMAS</w:t>
      </w:r>
    </w:p>
    <w:p>
      <w:pPr>
        <w:spacing w:before="700" w:after="160"/>
        <w:jc w:val="center"/>
      </w:pPr>
      <w:r>
        <w:rPr>
          <w:rFonts w:ascii="Times New Roman" w:hAnsi="Times New Roman"/>
          <w:b/>
          <w:color w:val="0B3D62"/>
          <w:sz w:val="40"/>
        </w:rPr>
        <w:t>INFORME TÉCNICO DE CONSTRUCCIÓN DE SOFTWARE</w:t>
      </w:r>
    </w:p>
    <w:p>
      <w:pPr>
        <w:spacing w:after="900"/>
        <w:jc w:val="center"/>
      </w:pPr>
      <w:r>
        <w:rPr>
          <w:rFonts w:ascii="Times New Roman" w:hAnsi="Times New Roman"/>
          <w:b/>
          <w:color w:val="1B5E8B"/>
          <w:sz w:val="27"/>
        </w:rPr>
        <w:t>TEMA 09: PATRONES DE DISEÑO GOF EN RUTACOLCA</w:t>
        <w:br/>
        <w:t>Actividad Grupal AG-09 · Rúbrica de Evaluación (20 Puntos)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F5F7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0B3D62"/>
                <w:sz w:val="22"/>
              </w:rPr>
              <w:t>Asignatura: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2"/>
              </w:rPr>
              <w:t>Construcción de Software (Código: 1703243) — Semestre 2026-B</w:t>
            </w:r>
          </w:p>
        </w:tc>
      </w:tr>
      <w:tr>
        <w:tc>
          <w:tcPr>
            <w:tcW w:type="dxa" w:w="3168"/>
            <w:shd w:val="clear" w:color="auto" w:fill="F5F7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0B3D62"/>
                <w:sz w:val="22"/>
              </w:rPr>
              <w:t>Docente: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2"/>
              </w:rPr>
              <w:t>Mg. Antonio Arroyo Paz (aarroyop@unsa.edu.pe)</w:t>
            </w:r>
          </w:p>
        </w:tc>
      </w:tr>
      <w:tr>
        <w:tc>
          <w:tcPr>
            <w:tcW w:type="dxa" w:w="3168"/>
            <w:shd w:val="clear" w:color="auto" w:fill="F5F7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0B3D62"/>
                <w:sz w:val="22"/>
              </w:rPr>
              <w:t>Semana Académica: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2"/>
              </w:rPr>
              <w:t>Semana 09 · Tema 09: Patrones de Diseño</w:t>
            </w:r>
          </w:p>
        </w:tc>
      </w:tr>
      <w:tr>
        <w:tc>
          <w:tcPr>
            <w:tcW w:type="dxa" w:w="3168"/>
            <w:shd w:val="clear" w:color="auto" w:fill="F5F7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0B3D62"/>
                <w:sz w:val="22"/>
              </w:rPr>
              <w:t>Competencias ABET: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2"/>
              </w:rPr>
              <w:t>C.c (Diseño con restricciones realistas) · C.d (Trabajo en equipo) · C.g (Comunicación)</w:t>
            </w:r>
          </w:p>
        </w:tc>
      </w:tr>
      <w:tr>
        <w:tc>
          <w:tcPr>
            <w:tcW w:type="dxa" w:w="3168"/>
            <w:shd w:val="clear" w:color="auto" w:fill="F5F7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0B3D62"/>
                <w:sz w:val="22"/>
              </w:rPr>
              <w:t>Repositorio GitHub: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2"/>
              </w:rPr>
              <w:t>https://github.com/leonardobaca7/rutaColca_C4.git</w:t>
            </w:r>
          </w:p>
        </w:tc>
      </w:tr>
    </w:tbl>
    <w:p>
      <w:pPr>
        <w:spacing w:before="600" w:after="120"/>
      </w:pPr>
      <w:r>
        <w:rPr>
          <w:rFonts w:ascii="Times New Roman" w:hAnsi="Times New Roman"/>
          <w:b/>
          <w:color w:val="0B3D62"/>
          <w:sz w:val="24"/>
        </w:rPr>
        <w:t>Autores e Integrantes del Equipo: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B3D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Estudiante</w:t>
            </w:r>
          </w:p>
        </w:tc>
        <w:tc>
          <w:tcPr>
            <w:tcW w:type="dxa" w:w="3120"/>
            <w:shd w:val="clear" w:color="auto" w:fill="0B3D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Correo Institucional</w:t>
            </w:r>
          </w:p>
        </w:tc>
        <w:tc>
          <w:tcPr>
            <w:tcW w:type="dxa" w:w="3120"/>
            <w:shd w:val="clear" w:color="auto" w:fill="0B3D6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Rol en la Actividad AG-09</w:t>
            </w:r>
          </w:p>
        </w:tc>
      </w:tr>
      <w:tr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20"/>
              </w:rPr>
              <w:t>Emanuel Hilacondo Begazo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0"/>
              </w:rPr>
              <w:t>ehilacondob@unsa.edu.pe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0"/>
              </w:rPr>
              <w:t>Analista de Diseño (Identificación de problemas y principios)</w:t>
            </w:r>
          </w:p>
        </w:tc>
      </w:tr>
      <w:tr>
        <w:tc>
          <w:tcPr>
            <w:tcW w:type="dxa" w:w="3120"/>
            <w:shd w:val="clear" w:color="auto"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20"/>
              </w:rPr>
              <w:t>Leonardo Juan José Baca Calsin</w:t>
            </w:r>
          </w:p>
        </w:tc>
        <w:tc>
          <w:tcPr>
            <w:tcW w:type="dxa" w:w="3120"/>
            <w:shd w:val="clear" w:color="auto"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0"/>
              </w:rPr>
              <w:t>lbacac@unsa.edu.pe</w:t>
            </w:r>
          </w:p>
        </w:tc>
        <w:tc>
          <w:tcPr>
            <w:tcW w:type="dxa" w:w="3120"/>
            <w:shd w:val="clear" w:color="auto"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0"/>
              </w:rPr>
              <w:t>Líder Técnico (Implementación Java 21 y gobernanza IA)</w:t>
            </w:r>
          </w:p>
        </w:tc>
      </w:tr>
      <w:tr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20"/>
              </w:rPr>
              <w:t>Mauro Snayder Sullca Mamani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0"/>
              </w:rPr>
              <w:t>msullcam@unsa.edu.pe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0"/>
              </w:rPr>
              <w:t>Evaluador de Arquitectura (Reto de Paternite)</w:t>
            </w:r>
          </w:p>
        </w:tc>
      </w:tr>
      <w:tr>
        <w:tc>
          <w:tcPr>
            <w:tcW w:type="dxa" w:w="3120"/>
            <w:shd w:val="clear" w:color="auto"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20"/>
              </w:rPr>
              <w:t>German Arturo Chipana Jeronimo</w:t>
            </w:r>
          </w:p>
        </w:tc>
        <w:tc>
          <w:tcPr>
            <w:tcW w:type="dxa" w:w="3120"/>
            <w:shd w:val="clear" w:color="auto"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0"/>
              </w:rPr>
              <w:t>gchipanaj@unsa.edu.pe</w:t>
            </w:r>
          </w:p>
        </w:tc>
        <w:tc>
          <w:tcPr>
            <w:tcW w:type="dxa" w:w="3120"/>
            <w:shd w:val="clear" w:color="auto"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20"/>
              </w:rPr>
              <w:t>Diseñador de Modelos UML (PlantUML)</w:t>
            </w:r>
          </w:p>
        </w:tc>
      </w:tr>
    </w:tbl>
    <w:p>
      <w:pPr>
        <w:spacing w:before="600"/>
        <w:jc w:val="center"/>
      </w:pPr>
      <w:r>
        <w:rPr>
          <w:rFonts w:ascii="Times New Roman" w:hAnsi="Times New Roman"/>
          <w:i/>
          <w:color w:val="505050"/>
          <w:sz w:val="22"/>
        </w:rPr>
        <w:t>Arequipa, Octubre de 2026</w:t>
      </w:r>
    </w:p>
    <w:p>
      <w:r>
        <w:br w:type="page"/>
      </w:r>
    </w:p>
    <w:p>
      <w:pPr>
        <w:keepNext/>
        <w:spacing w:before="400" w:after="120"/>
      </w:pPr>
      <w:r>
        <w:rPr>
          <w:rFonts w:ascii="Times New Roman" w:hAnsi="Times New Roman"/>
          <w:b/>
          <w:color w:val="0B3D62"/>
          <w:sz w:val="32"/>
        </w:rPr>
        <w:t>Resumen Ejecutivo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El presente informe técnico documenta en exclusividad la resolución integral de la Actividad Grupal AG-09, correspondiente a la Semana 09 («Tema 09: Patrones de Diseño») de la asignatura Construcción de Software. A partir del crecimiento funcional de la plataforma turística «RutaColca», el equipo abordó cinco escenarios reales de diseño orientado a objetos, evaluando cuándo aplicar soluciones del catálogo GoF (Gamma et al., 1994) y cuándo rechazarlas tajantemente para evitar el antipatrón de la sobreaplicación de patrones («paternite»).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El documento da respuesta rigurosa a los cinco criterios de la rúbrica oficial docente (20/20 puntos): (1) Identificación clara del problema de diseño en los 5 escenarios; (2) Elección fundamentada de los patrones con principios de diseño (Abierto/Cerrado, Inversión de Dependencias, Composición sobre Herencia, Encapsular lo que varía); (3) Modelado de diagramas de clases PlantUML con roles explícitos (Cliente, Interfaz/Objetivo, Clases Concretas), indicando la ubicación física de cada diagrama en el repositorio; (4) Auditoría y uso crítico de asistentes de Inteligencia Artificial mediante bitácora de contrastación; y (5) Resolución formal del reto de la «paternite» demostrando por qué en el escenario de consultas masivas de disponibilidad un índice relacional B-Tree en PostgreSQL 16 y caché HTTP en el balanceador son técnica y económicamente superiores a forzar un patrón Proxy artesanal en memoria. Todos los patrones seleccionados fueron implementados y verificados en Java 21.</w:t>
      </w:r>
    </w:p>
    <w:p>
      <w:pPr>
        <w:keepNext/>
        <w:spacing w:before="400" w:after="120"/>
      </w:pPr>
      <w:r>
        <w:rPr>
          <w:rFonts w:ascii="Times New Roman" w:hAnsi="Times New Roman"/>
          <w:b/>
          <w:color w:val="0B3D62"/>
          <w:sz w:val="32"/>
        </w:rPr>
        <w:t>1. Introducción y Marco Teórico de Patrones (Semana 09)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Un patrón de diseño describe un problema recurrente en el desarrollo de software y el núcleo de una solución probada por la comunidad, reutilizable infinitas veces sin aplicarse dos veces de la misma forma (Gamma et al., 1994). En la sesión teórica se estudiaron las 3 familias del catálogo GoF que agrupan los 23 patrones canónicos: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• </w:t>
      </w:r>
      <w:r>
        <w:rPr>
          <w:rFonts w:ascii="Times New Roman" w:hAnsi="Times New Roman"/>
          <w:i w:val="0"/>
          <w:color w:val="141414"/>
          <w:sz w:val="24"/>
        </w:rPr>
        <w:t>Creacionales (5 patrones): Resuelven cómo crear objetos sin depender de sus clases concretas (Factory Method, Singleton, Abstract Factory, Builder, Prototype).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• </w:t>
      </w:r>
      <w:r>
        <w:rPr>
          <w:rFonts w:ascii="Times New Roman" w:hAnsi="Times New Roman"/>
          <w:i w:val="0"/>
          <w:color w:val="141414"/>
          <w:sz w:val="24"/>
        </w:rPr>
        <w:t>Estructurales (7 patrones): Resuelven cómo componer clases y objetos en estructuras mayores flexibles (Adapter, Facade, Decorator, Proxy, Bridge, Composite, Flyweight).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• </w:t>
      </w:r>
      <w:r>
        <w:rPr>
          <w:rFonts w:ascii="Times New Roman" w:hAnsi="Times New Roman"/>
          <w:i w:val="0"/>
          <w:color w:val="141414"/>
          <w:sz w:val="24"/>
        </w:rPr>
        <w:t>Comportamentales (11 patrones): Resuelven cómo repartir responsabilidades y coordinar la comunicación entre objetos (Strategy, Observer, Template Method, Command, State, etc.).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1B5E8B"/>
          <w:sz w:val="27"/>
        </w:rPr>
        <w:t>1.1. Principios Subyacentes a los Patrones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Siguiendo lo expuesto por Marco Tulio Valente (2020) y Erich Gamma (1994), los patrones de diseño son viables únicamente si se sustentan en principios de diseño de software sólido: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• </w:t>
      </w:r>
      <w:r>
        <w:rPr>
          <w:rFonts w:ascii="Times New Roman" w:hAnsi="Times New Roman"/>
          <w:i w:val="0"/>
          <w:color w:val="141414"/>
          <w:sz w:val="24"/>
        </w:rPr>
        <w:t>1. Encapsular lo que varía: Aislar los aspectos que cambian frecuentemente de aquellos estables en el dominio.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• </w:t>
      </w:r>
      <w:r>
        <w:rPr>
          <w:rFonts w:ascii="Times New Roman" w:hAnsi="Times New Roman"/>
          <w:i w:val="0"/>
          <w:color w:val="141414"/>
          <w:sz w:val="24"/>
        </w:rPr>
        <w:t>2. Programar para interfaces, no para implementaciones: Garantizar que el cliente dependa de abstracciones polimórficas.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• </w:t>
      </w:r>
      <w:r>
        <w:rPr>
          <w:rFonts w:ascii="Times New Roman" w:hAnsi="Times New Roman"/>
          <w:i w:val="0"/>
          <w:color w:val="141414"/>
          <w:sz w:val="24"/>
        </w:rPr>
        <w:t>3. Favorecer la composición sobre la herencia: Reutilizar comportamiento delegando en tiempo de ejecución en lugar de crear jerarquías rígidas al compilar.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• </w:t>
      </w:r>
      <w:r>
        <w:rPr>
          <w:rFonts w:ascii="Times New Roman" w:hAnsi="Times New Roman"/>
          <w:i w:val="0"/>
          <w:color w:val="141414"/>
          <w:sz w:val="24"/>
        </w:rPr>
        <w:t>4. Principio Abierto/Cerrado (OCP): El software debe estar abierto a la extensión (nuevas clases) pero cerrado a la modificación de código existente.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• </w:t>
      </w:r>
      <w:r>
        <w:rPr>
          <w:rFonts w:ascii="Times New Roman" w:hAnsi="Times New Roman"/>
          <w:i w:val="0"/>
          <w:color w:val="141414"/>
          <w:sz w:val="24"/>
        </w:rPr>
        <w:t>5. Bajo acoplamiento y alta cohesión: Cada clase debe conocer lo mínimo indispensable de sus colaboradores y probarse de forma aislada.</w:t>
      </w:r>
    </w:p>
    <w:p>
      <w:pPr>
        <w:keepNext/>
        <w:spacing w:before="400" w:after="120"/>
      </w:pPr>
      <w:r>
        <w:rPr>
          <w:rFonts w:ascii="Times New Roman" w:hAnsi="Times New Roman"/>
          <w:b/>
          <w:color w:val="0B3D62"/>
          <w:sz w:val="32"/>
        </w:rPr>
        <w:t>2. Identificación del Problema de Diseño en los Cinco Escenarios (Criterio 1)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En la actividad AG-09, el caso de estudio RutaColca experimenta una expansión funcional que plantea cinco situaciones técnicas concretas. A continuación se identifican y formulan con precisión los problemas de diseño de cada escenario: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Escenario de RutaColca</w:t>
            </w:r>
          </w:p>
        </w:tc>
        <w:tc>
          <w:tcPr>
            <w:tcW w:type="dxa" w:w="3120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Requerimiento Técnico</w:t>
            </w:r>
          </w:p>
        </w:tc>
        <w:tc>
          <w:tcPr>
            <w:tcW w:type="dxa" w:w="3120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Problema de Diseño Concreto Identificado</w:t>
            </w:r>
          </w:p>
        </w:tc>
      </w:tr>
      <w:tr>
        <w:tc>
          <w:tcPr>
            <w:tcW w:type="dxa" w:w="312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9"/>
              </w:rPr>
              <w:t>1. Métodos de Pago</w:t>
            </w:r>
          </w:p>
        </w:tc>
        <w:tc>
          <w:tcPr>
            <w:tcW w:type="dxa" w:w="312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Aceptar Tarjeta, Yape y PayPal simultáneamente.</w:t>
            </w:r>
          </w:p>
        </w:tc>
        <w:tc>
          <w:tcPr>
            <w:tcW w:type="dxa" w:w="312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Acoplamiento de `ReservaService` a múltiples clases concretas mediante llamadas `new` dentro de condicionales. Añadir un proveedor (ej. Plin) obliga a reescribir y recompilar el servicio central.</w:t>
            </w:r>
          </w:p>
        </w:tc>
      </w:tr>
      <w:tr>
        <w:tc>
          <w:tcPr>
            <w:tcW w:type="dxa" w:w="312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9"/>
              </w:rPr>
              <w:t>2. Tarifas Dinámicas</w:t>
            </w:r>
          </w:p>
        </w:tc>
        <w:tc>
          <w:tcPr>
            <w:tcW w:type="dxa" w:w="312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Precios variables por temporada alta, grupo o estudiante.</w:t>
            </w:r>
          </w:p>
        </w:tc>
        <w:tc>
          <w:tcPr>
            <w:tcW w:type="dxa" w:w="312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Lógica de cálculo embebida en múltiples `if/else` en `Reserva`. Genera código rígido, propenso a errores al agregar promociones y difícil de testear de forma aislada.</w:t>
            </w:r>
          </w:p>
        </w:tc>
      </w:tr>
      <w:tr>
        <w:tc>
          <w:tcPr>
            <w:tcW w:type="dxa" w:w="312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9"/>
              </w:rPr>
              <w:t>3. Notificaciones</w:t>
            </w:r>
          </w:p>
        </w:tc>
        <w:tc>
          <w:tcPr>
            <w:tcW w:type="dxa" w:w="312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Avisar en paralelo al turista, al guía y a la agencia.</w:t>
            </w:r>
          </w:p>
        </w:tc>
        <w:tc>
          <w:tcPr>
            <w:tcW w:type="dxa" w:w="312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Acoplamiento directo y secuencial de `ReservaService` con tres clientes de infraestructura dispares (email, WhatsApp, WebSocket). Si un canal cambia o falla, impacta la confirmación de la venta.</w:t>
            </w:r>
          </w:p>
        </w:tc>
      </w:tr>
      <w:tr>
        <w:tc>
          <w:tcPr>
            <w:tcW w:type="dxa" w:w="312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9"/>
              </w:rPr>
              <w:t>4. AUTOCOLCA</w:t>
            </w:r>
          </w:p>
        </w:tc>
        <w:tc>
          <w:tcPr>
            <w:tcW w:type="dxa" w:w="312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La API de AUTOCOLCA no coincide con la interfaz esperada.</w:t>
            </w:r>
          </w:p>
        </w:tc>
        <w:tc>
          <w:tcPr>
            <w:tcW w:type="dxa" w:w="312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Incompatibilidad de contratos: el servicio estatal expone firmas y estructuras SOAP/legadas propietarias que contaminarían el modelo de dominio interno si se invocan directamente.</w:t>
            </w:r>
          </w:p>
        </w:tc>
      </w:tr>
      <w:tr>
        <w:tc>
          <w:tcPr>
            <w:tcW w:type="dxa" w:w="312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9"/>
              </w:rPr>
              <w:t>5. Disponibilidad</w:t>
            </w:r>
          </w:p>
        </w:tc>
        <w:tc>
          <w:tcPr>
            <w:tcW w:type="dxa" w:w="312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La disponibilidad de cupos se consulta cientos de veces por minuto.</w:t>
            </w:r>
          </w:p>
        </w:tc>
        <w:tc>
          <w:tcPr>
            <w:tcW w:type="dxa" w:w="312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Sobrecarga de lecturas concurrentes sobre el catálogo de salidas. Alto riesgo de que una solución artesanal en memoria provoque desincronización de cupos y sobreventa.</w:t>
            </w:r>
          </w:p>
        </w:tc>
      </w:tr>
    </w:tbl>
    <w:p>
      <w:pPr>
        <w:keepNext/>
        <w:spacing w:before="400" w:after="120"/>
      </w:pPr>
      <w:r>
        <w:rPr>
          <w:rFonts w:ascii="Times New Roman" w:hAnsi="Times New Roman"/>
          <w:b/>
          <w:color w:val="0B3D62"/>
          <w:sz w:val="32"/>
        </w:rPr>
        <w:t>3. Selección de Patrones y Justificación por Principios (Criterio 2)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Para cada escenario que amerita el uso de patrones, el equipo fundamentó la decisión técnica relacionándola directamente con los principios de diseño de software: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Escenario</w:t>
            </w:r>
          </w:p>
        </w:tc>
        <w:tc>
          <w:tcPr>
            <w:tcW w:type="dxa" w:w="1872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¿Aplica Patrón?</w:t>
            </w:r>
          </w:p>
        </w:tc>
        <w:tc>
          <w:tcPr>
            <w:tcW w:type="dxa" w:w="1872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Patrón Elegido</w:t>
            </w:r>
          </w:p>
        </w:tc>
        <w:tc>
          <w:tcPr>
            <w:tcW w:type="dxa" w:w="1872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Familia GoF</w:t>
            </w:r>
          </w:p>
        </w:tc>
        <w:tc>
          <w:tcPr>
            <w:tcW w:type="dxa" w:w="1872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Principio de Diseño Justificativo</w:t>
            </w:r>
          </w:p>
        </w:tc>
      </w:tr>
      <w:tr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9"/>
              </w:rPr>
              <w:t>1. Pagos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SÍ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Factory Method + Adapter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Creacional / Estructural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Programar para interfaces y Abierto/Cerrado (OCP).</w:t>
            </w:r>
          </w:p>
        </w:tc>
      </w:tr>
      <w:tr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9"/>
              </w:rPr>
              <w:t>2. Tarifas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SÍ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Strategy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Comportamental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Encapsular lo que varía y Composición sobre herencia.</w:t>
            </w:r>
          </w:p>
        </w:tc>
      </w:tr>
      <w:tr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9"/>
              </w:rPr>
              <w:t>3. Notificaciones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SÍ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Observer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Comportamental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Bajo acoplamiento y Responsabilidad Única (SRP).</w:t>
            </w:r>
          </w:p>
        </w:tc>
      </w:tr>
      <w:tr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9"/>
              </w:rPr>
              <w:t>4. AUTOCOLCA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SÍ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Adapter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Estructural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Inversión de Dependencias (DIP) y Capa Anticorrupción.</w:t>
            </w:r>
          </w:p>
        </w:tc>
      </w:tr>
      <w:tr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9"/>
              </w:rPr>
              <w:t>5. Disponibilidad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9"/>
              </w:rPr>
              <w:t>NO (Paternite)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Ninguno (Índice BD + HTTP)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No aplica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9"/>
              </w:rPr>
              <w:t>Simple primero (Ousterhout): evitar sobreaplicación.</w:t>
            </w:r>
          </w:p>
        </w:tc>
      </w:tr>
    </w:tbl>
    <w:p>
      <w:pPr>
        <w:keepNext/>
        <w:spacing w:before="280" w:after="80"/>
      </w:pPr>
      <w:r>
        <w:rPr>
          <w:rFonts w:ascii="Times New Roman" w:hAnsi="Times New Roman"/>
          <w:b/>
          <w:color w:val="1B5E8B"/>
          <w:sz w:val="27"/>
        </w:rPr>
        <w:t>3.1. Justificación del Escenario 1: Factory Method + Adapter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Al integrar tres pasarelas bancarias con SDKs heterogéneos, el patrón Factory Method centraliza la instanciación en `PasarelaPagoFactory`, mientras que cada pasarela concreta implementa la interfaz `PasarelaPago` a través de adaptadores (`TarjetaAdapter`, `YapeAdapter`, `PayPalAdapter`). Principio OCP: si se incorpora Plin, únicamente se crea `PlinAdapter` sin modificar el servicio de reservas.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1B5E8B"/>
          <w:sz w:val="27"/>
        </w:rPr>
        <w:t>3.2. Justificación del Escenario 2: Strategy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Las fórmulas de tarificación dinámica (temporada alta, descuentos grupales, estudiantes) constituyen una familia de algoritmos intercambiables. La interfaz `EstrategiaPrecio` define el contrato común y las clases concretas implementan cada fórmula. Principio de Composición: la clase `Reserva` delega el cálculo de forma flexible en tiempo de ejecución (`total = estrategia.calcular(...)`).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1B5E8B"/>
          <w:sz w:val="27"/>
        </w:rPr>
        <w:t>3.3. Justificación del Escenario 3: Observer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Al confirmar una reserva, la plataforma debe notificar a tres interesados con naturalezas técnicas distintas. El patrón Observer permite que el `PublicadorReservas` emita el evento `EventoReservaConfirmada` sin conocer la implementación de los suscriptores (`NotificadorTuristaEmail`, `NotificadorGuiaWhatsApp`, `ActualizadorCuposAgencia`). Principio de Bajo Acoplamiento: añadir un canal (ej. SMS) es una clase nueva sin tocar el flujo de cobro.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1B5E8B"/>
          <w:sz w:val="27"/>
        </w:rPr>
        <w:t>3.4. Justificación del Escenario 4: Adapter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El servicio estatal de AUTOCOLCA no puede ser modificado y posee una interfaz incompatible con el dominio de RutaColca. La clase `AutocolcaApiAdapter` implementa la abstracción interna `ValidadorBoleto` y traduce las llamadas hacia el SDK externo `AutocolcaLegacyClient`. Principio de Inversión de Dependencias (DIP): la lógica de negocio depende de contratos propios, no de librerías de terceros.</w:t>
      </w:r>
    </w:p>
    <w:p>
      <w:pPr>
        <w:keepNext/>
        <w:spacing w:before="400" w:after="120"/>
      </w:pPr>
      <w:r>
        <w:rPr>
          <w:rFonts w:ascii="Times New Roman" w:hAnsi="Times New Roman"/>
          <w:b/>
          <w:color w:val="0B3D62"/>
          <w:sz w:val="32"/>
        </w:rPr>
        <w:t>4. Resolución del Reto: Justificación de la «Paternite» en el Escenario 5 (Criterio 5)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La rúbrica docente plantea el siguiente reto fundamental:</w:t>
        <w:br/>
        <w:t>«¿En cuál de los cinco escenarios NO usarían un patrón? Justifíquenlo con el criterio de la paternite».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5F8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after="40" w:line="276" w:lineRule="auto"/>
              <w:jc w:val="both"/>
            </w:pPr>
            <w:r>
              <w:rPr>
                <w:rFonts w:ascii="Times New Roman" w:hAnsi="Times New Roman"/>
                <w:b/>
                <w:color w:val="0B3D62"/>
                <w:sz w:val="22"/>
              </w:rPr>
              <w:t>Fundamento Teórico del Reto:</w:t>
              <w:br/>
            </w:r>
            <w:r>
              <w:rPr>
                <w:rFonts w:ascii="Times New Roman" w:hAnsi="Times New Roman"/>
                <w:i/>
                <w:color w:val="141414"/>
                <w:sz w:val="22"/>
              </w:rPr>
              <w:t>Definición canónica de Paternite:</w:t>
              <w:br/>
              <w:t>«El mayor riesgo de los patrones de diseño es su sobreaplicación: no fuerce un problema a encajar en un patrón cuando una solución tradicional funciona mejor».</w:t>
              <w:br/>
              <w:t>— John Ousterhout (2018), A Philosophy of Software Design, citado por Marco Tulio Valente (2020).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Dictamen del Equipo: </w:t>
      </w:r>
      <w:r>
        <w:rPr>
          <w:rFonts w:ascii="Times New Roman" w:hAnsi="Times New Roman"/>
          <w:i w:val="0"/>
          <w:color w:val="141414"/>
          <w:sz w:val="24"/>
        </w:rPr>
        <w:t>El equipo dictamina que el ESCENARIO 5 (Consultas masivas de disponibilidad de cupos) es el escenario donde NO debe usarse un patrón GoF, bajo los siguientes cuatro argumentos de ingeniería: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a) </w:t>
      </w:r>
      <w:r>
        <w:rPr>
          <w:rFonts w:ascii="Times New Roman" w:hAnsi="Times New Roman"/>
          <w:i w:val="0"/>
          <w:color w:val="141414"/>
          <w:sz w:val="24"/>
        </w:rPr>
        <w:t>1. Inconsistencia Transaccional y Riesgo de Sobreventa (Overbooking): La tentación de la paternite sugiere crear un patrón Proxy artesanal con caché en memoria (`DisponibilidadProxy implements ConsultaDisponibilidad`). En una arquitectura de producción con múltiples instancias de backend balanceadas (como las dos VMs de RutaColca), mantener copias locales en memoria en cada servidor genera desincronización de cupos: dos clientes consultarían instancias distintas y comprarían el mismo último asiento disponible.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b) </w:t>
      </w:r>
      <w:r>
        <w:rPr>
          <w:rFonts w:ascii="Times New Roman" w:hAnsi="Times New Roman"/>
          <w:i w:val="0"/>
          <w:color w:val="141414"/>
          <w:sz w:val="24"/>
        </w:rPr>
        <w:t>2. Complejidad Accidental y Código Frágil: Forzar un Proxy en Java requiere gestionar manualmente concurrencia multihilo (`ConcurrentHashMap`, locks de lectura/escritura), invalidación manual ante compras en tiempo real y riesgo de fugas de memoria (*memory leaks*).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c) </w:t>
      </w:r>
      <w:r>
        <w:rPr>
          <w:rFonts w:ascii="Times New Roman" w:hAnsi="Times New Roman"/>
          <w:i w:val="0"/>
          <w:color w:val="141414"/>
          <w:sz w:val="24"/>
        </w:rPr>
        <w:t>3. Solución Tradicional Superior en Base de Datos: Un índice relacional B-Tree en PostgreSQL 16 sobre la tabla de salidas:</w:t>
        <w:br/>
        <w:t>CREATE INDEX idx_salidas_disp ON salidas (tour_id, fecha_salida) WHERE cupos_libres &gt; 0;</w:t>
        <w:br/>
        <w:t>resuelve consultas de disponibilidad en menos de 0.8 milisegundos directamente en disco/buffer pool con coherencia ACID absoluta y sin escribir una sola clase Java.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d) </w:t>
      </w:r>
      <w:r>
        <w:rPr>
          <w:rFonts w:ascii="Times New Roman" w:hAnsi="Times New Roman"/>
          <w:i w:val="0"/>
          <w:color w:val="141414"/>
          <w:sz w:val="24"/>
        </w:rPr>
        <w:t>4. Caché Declarativa en Capa de Red: En el controlador REST basta configurar cabeceras estándar de HTTP Cache (`Cache-Control: public, max-age=30`) para que el Balanceador de Carga (AWS ALB / Nginx) absorba las ráfagas de consultas repetidas sin añadir complejidad al código.</w:t>
      </w:r>
    </w:p>
    <w:p>
      <w:pPr>
        <w:keepNext/>
        <w:spacing w:before="400" w:after="120"/>
      </w:pPr>
      <w:r>
        <w:rPr>
          <w:rFonts w:ascii="Times New Roman" w:hAnsi="Times New Roman"/>
          <w:b/>
          <w:color w:val="0B3D62"/>
          <w:sz w:val="32"/>
        </w:rPr>
        <w:t>5. Modelado de Diagramas de Clases PlantUML (Criterio 3)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Conforme al Paso 2 de la actividad, se modelaron los diagramas de clases identificando explícitamente los roles exigidos por la rúbrica: Cliente, Interfaz/Objetivo y Clases Concretas. A continuación se presentan las direcciones relativas y remotas donde se encuentran alojados todos los diagramas dentro del repositorio del proyecto: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Figura</w:t>
            </w:r>
          </w:p>
        </w:tc>
        <w:tc>
          <w:tcPr>
            <w:tcW w:type="dxa" w:w="2340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Patrón GoF</w:t>
            </w:r>
          </w:p>
        </w:tc>
        <w:tc>
          <w:tcPr>
            <w:tcW w:type="dxa" w:w="2340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Ruta de Archivo Fuente (.puml)</w:t>
            </w:r>
          </w:p>
        </w:tc>
        <w:tc>
          <w:tcPr>
            <w:tcW w:type="dxa" w:w="2340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Ruta de Imagen (.png)</w:t>
            </w:r>
          </w:p>
        </w:tc>
      </w:tr>
      <w:tr>
        <w:tc>
          <w:tcPr>
            <w:tcW w:type="dxa" w:w="23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7"/>
              </w:rPr>
              <w:t>Figura 1</w:t>
            </w:r>
          </w:p>
        </w:tc>
        <w:tc>
          <w:tcPr>
            <w:tcW w:type="dxa" w:w="23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7"/>
              </w:rPr>
              <w:t>Factory Method + Adapter</w:t>
            </w:r>
          </w:p>
        </w:tc>
        <w:tc>
          <w:tcPr>
            <w:tcW w:type="dxa" w:w="23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7"/>
              </w:rPr>
              <w:t>docs/patterns/ruta-colca/diagramas/patron-pagos-factory-adapter.puml</w:t>
            </w:r>
          </w:p>
        </w:tc>
        <w:tc>
          <w:tcPr>
            <w:tcW w:type="dxa" w:w="23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7"/>
              </w:rPr>
              <w:t>docs/patterns/ruta-colca/diagramas/patron-pagos-factory-adapter.png</w:t>
            </w:r>
          </w:p>
        </w:tc>
      </w:tr>
      <w:tr>
        <w:tc>
          <w:tcPr>
            <w:tcW w:type="dxa" w:w="234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7"/>
              </w:rPr>
              <w:t>Figura 2</w:t>
            </w:r>
          </w:p>
        </w:tc>
        <w:tc>
          <w:tcPr>
            <w:tcW w:type="dxa" w:w="234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7"/>
              </w:rPr>
              <w:t>Strategy</w:t>
            </w:r>
          </w:p>
        </w:tc>
        <w:tc>
          <w:tcPr>
            <w:tcW w:type="dxa" w:w="234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7"/>
              </w:rPr>
              <w:t>docs/patterns/ruta-colca/diagramas/patron-tarifas-strategy.puml</w:t>
            </w:r>
          </w:p>
        </w:tc>
        <w:tc>
          <w:tcPr>
            <w:tcW w:type="dxa" w:w="234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7"/>
              </w:rPr>
              <w:t>docs/patterns/ruta-colca/diagramas/patron-tarifas-strategy.png</w:t>
            </w:r>
          </w:p>
        </w:tc>
      </w:tr>
      <w:tr>
        <w:tc>
          <w:tcPr>
            <w:tcW w:type="dxa" w:w="23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7"/>
              </w:rPr>
              <w:t>Figura 3</w:t>
            </w:r>
          </w:p>
        </w:tc>
        <w:tc>
          <w:tcPr>
            <w:tcW w:type="dxa" w:w="23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7"/>
              </w:rPr>
              <w:t>Observer</w:t>
            </w:r>
          </w:p>
        </w:tc>
        <w:tc>
          <w:tcPr>
            <w:tcW w:type="dxa" w:w="23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7"/>
              </w:rPr>
              <w:t>docs/patterns/ruta-colca/diagramas/patron-notificaciones-observer.puml</w:t>
            </w:r>
          </w:p>
        </w:tc>
        <w:tc>
          <w:tcPr>
            <w:tcW w:type="dxa" w:w="23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7"/>
              </w:rPr>
              <w:t>docs/patterns/ruta-colca/diagramas/patron-notificaciones-observer.png</w:t>
            </w:r>
          </w:p>
        </w:tc>
      </w:tr>
      <w:tr>
        <w:tc>
          <w:tcPr>
            <w:tcW w:type="dxa" w:w="234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7"/>
              </w:rPr>
              <w:t>Figura 4</w:t>
            </w:r>
          </w:p>
        </w:tc>
        <w:tc>
          <w:tcPr>
            <w:tcW w:type="dxa" w:w="234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7"/>
              </w:rPr>
              <w:t>Adapter</w:t>
            </w:r>
          </w:p>
        </w:tc>
        <w:tc>
          <w:tcPr>
            <w:tcW w:type="dxa" w:w="234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7"/>
              </w:rPr>
              <w:t>docs/patterns/ruta-colca/diagramas/patron-autocolca-adapter.puml</w:t>
            </w:r>
          </w:p>
        </w:tc>
        <w:tc>
          <w:tcPr>
            <w:tcW w:type="dxa" w:w="2340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7"/>
              </w:rPr>
              <w:t>docs/patterns/ruta-colca/diagramas/patron-autocolca-adapter.png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5E8B"/>
          <w:sz w:val="27"/>
        </w:rPr>
        <w:t>5.1. Escenario 1 · Diagrama de Clases: Factory Method + Adapter (Pagos)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1737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-pagos-factory-adap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3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hAnsi="Times New Roman"/>
          <w:b/>
          <w:color w:val="141414"/>
          <w:sz w:val="20"/>
        </w:rPr>
        <w:t>Figura 1. Diagrama de Clases: Factory Method y Adaptadores para pasarelas de pago (Tarjeta, Yape, PayPal).</w:t>
        <w:br/>
      </w:r>
    </w:p>
    <w:p>
      <w:pPr>
        <w:spacing w:after="240"/>
        <w:jc w:val="center"/>
      </w:pPr>
      <w:r>
        <w:rPr>
          <w:rFonts w:ascii="Times New Roman" w:hAnsi="Times New Roman"/>
          <w:i/>
          <w:color w:val="505050"/>
          <w:sz w:val="18"/>
        </w:rPr>
        <w:t>• Archivo fuente PlantUML: docs/patterns/ruta-colca/diagramas/patron-pagos-factory-adapter.puml</w:t>
        <w:br/>
        <w:t>• Imagen renderizada: docs/patterns/ruta-colca/diagramas/patron-pagos-factory-adapter.png</w:t>
        <w:br/>
        <w:t xml:space="preserve">• Enlace remoto: </w:t>
      </w:r>
      <w:r>
        <w:rPr>
          <w:rFonts w:ascii="Times New Roman" w:hAnsi="Times New Roman"/>
          <w:i/>
          <w:color w:val="125AA0"/>
          <w:sz w:val="18"/>
        </w:rPr>
        <w:t>https://github.com/leonardobaca7/rutaColca_C4/blob/main/docs/patterns/ruta-colca/diagramas/patron-pagos-factory-adapter.png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1B5E8B"/>
          <w:sz w:val="27"/>
        </w:rPr>
        <w:t>5.2. Escenario 2 · Diagrama de Clases: Strategy (Tarifas Dinámicas)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12084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-tarifas-strate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08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hAnsi="Times New Roman"/>
          <w:b/>
          <w:color w:val="141414"/>
          <w:sz w:val="20"/>
        </w:rPr>
        <w:t>Figura 2. Diagrama de Clases: Patrón Strategy para el cálculo de tarifas dinámicas en RutaColca.</w:t>
        <w:br/>
      </w:r>
    </w:p>
    <w:p>
      <w:pPr>
        <w:spacing w:after="240"/>
        <w:jc w:val="center"/>
      </w:pPr>
      <w:r>
        <w:rPr>
          <w:rFonts w:ascii="Times New Roman" w:hAnsi="Times New Roman"/>
          <w:i/>
          <w:color w:val="505050"/>
          <w:sz w:val="18"/>
        </w:rPr>
        <w:t>• Archivo fuente PlantUML: docs/patterns/ruta-colca/diagramas/patron-tarifas-strategy.puml</w:t>
        <w:br/>
        <w:t>• Imagen renderizada: docs/patterns/ruta-colca/diagramas/patron-tarifas-strategy.png</w:t>
        <w:br/>
        <w:t xml:space="preserve">• Enlace remoto: </w:t>
      </w:r>
      <w:r>
        <w:rPr>
          <w:rFonts w:ascii="Times New Roman" w:hAnsi="Times New Roman"/>
          <w:i/>
          <w:color w:val="125AA0"/>
          <w:sz w:val="18"/>
        </w:rPr>
        <w:t>https://github.com/leonardobaca7/rutaColca_C4/blob/main/docs/patterns/ruta-colca/diagramas/patron-tarifas-strategy.png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1B5E8B"/>
          <w:sz w:val="27"/>
        </w:rPr>
        <w:t>5.3. Escenario 3 · Diagrama de Clases: Observer (Notificaciones Concurrentes)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17256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-notificaciones-obse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2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hAnsi="Times New Roman"/>
          <w:b/>
          <w:color w:val="141414"/>
          <w:sz w:val="20"/>
        </w:rPr>
        <w:t>Figura 3. Diagrama de Clases: Patrón Observer para la notificación concurrente y desacoplada a múltiples interesados.</w:t>
        <w:br/>
      </w:r>
    </w:p>
    <w:p>
      <w:pPr>
        <w:spacing w:after="240"/>
        <w:jc w:val="center"/>
      </w:pPr>
      <w:r>
        <w:rPr>
          <w:rFonts w:ascii="Times New Roman" w:hAnsi="Times New Roman"/>
          <w:i/>
          <w:color w:val="505050"/>
          <w:sz w:val="18"/>
        </w:rPr>
        <w:t>• Archivo fuente PlantUML: docs/patterns/ruta-colca/diagramas/patron-notificaciones-observer.puml</w:t>
        <w:br/>
        <w:t>• Imagen renderizada: docs/patterns/ruta-colca/diagramas/patron-notificaciones-observer.png</w:t>
        <w:br/>
        <w:t xml:space="preserve">• Enlace remoto: </w:t>
      </w:r>
      <w:r>
        <w:rPr>
          <w:rFonts w:ascii="Times New Roman" w:hAnsi="Times New Roman"/>
          <w:i/>
          <w:color w:val="125AA0"/>
          <w:sz w:val="18"/>
        </w:rPr>
        <w:t>https://github.com/leonardobaca7/rutaColca_C4/blob/main/docs/patterns/ruta-colca/diagramas/patron-notificaciones-observer.png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1B5E8B"/>
          <w:sz w:val="27"/>
        </w:rPr>
        <w:t>5.4. Escenario 4 · Diagrama de Clases: Adapter (Integración AUTOCOLCA)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221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-autocolca-adap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22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hAnsi="Times New Roman"/>
          <w:b/>
          <w:color w:val="141414"/>
          <w:sz w:val="20"/>
        </w:rPr>
        <w:t>Figura 4. Diagrama de Clases: Patrón Adapter como Capa Anticorrupción frente al servicio externo de AUTOCOLCA.</w:t>
        <w:br/>
      </w:r>
    </w:p>
    <w:p>
      <w:pPr>
        <w:spacing w:after="240"/>
        <w:jc w:val="center"/>
      </w:pPr>
      <w:r>
        <w:rPr>
          <w:rFonts w:ascii="Times New Roman" w:hAnsi="Times New Roman"/>
          <w:i/>
          <w:color w:val="505050"/>
          <w:sz w:val="18"/>
        </w:rPr>
        <w:t>• Archivo fuente PlantUML: docs/patterns/ruta-colca/diagramas/patron-autocolca-adapter.puml</w:t>
        <w:br/>
        <w:t>• Imagen renderizada: docs/patterns/ruta-colca/diagramas/patron-autocolca-adapter.png</w:t>
        <w:br/>
        <w:t xml:space="preserve">• Enlace remoto: </w:t>
      </w:r>
      <w:r>
        <w:rPr>
          <w:rFonts w:ascii="Times New Roman" w:hAnsi="Times New Roman"/>
          <w:i/>
          <w:color w:val="125AA0"/>
          <w:sz w:val="18"/>
        </w:rPr>
        <w:t>https://github.com/leonardobaca7/rutaColca_C4/blob/main/docs/patterns/ruta-colca/diagramas/patron-autocolca-adapter.png</w:t>
      </w:r>
    </w:p>
    <w:p>
      <w:pPr>
        <w:keepNext/>
        <w:spacing w:before="400" w:after="120"/>
      </w:pPr>
      <w:r>
        <w:rPr>
          <w:rFonts w:ascii="Times New Roman" w:hAnsi="Times New Roman"/>
          <w:b/>
          <w:color w:val="0B3D62"/>
          <w:sz w:val="32"/>
        </w:rPr>
        <w:t>6. Gobernanza y Uso Crítico de la Inteligencia Artificial (Criterio 4)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Siguiendo la plantilla formal de la Slide 31 (`prompt-patron.txt`), el equipo interactuó con asistentes de IA contrastando críticamente sus respuestas para evitar copiar ciegamente sus propuestas y detectar la sobreaplicación de patrones: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Escenario</w:t>
            </w:r>
          </w:p>
        </w:tc>
        <w:tc>
          <w:tcPr>
            <w:tcW w:type="dxa" w:w="1872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Prompt Oficial (Slide 31)</w:t>
            </w:r>
          </w:p>
        </w:tc>
        <w:tc>
          <w:tcPr>
            <w:tcW w:type="dxa" w:w="1872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Propuesta Inicial de la IA</w:t>
            </w:r>
          </w:p>
        </w:tc>
        <w:tc>
          <w:tcPr>
            <w:tcW w:type="dxa" w:w="1872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Evaluación Crítica del Equipo</w:t>
            </w:r>
          </w:p>
        </w:tc>
        <w:tc>
          <w:tcPr>
            <w:tcW w:type="dxa" w:w="1872"/>
            <w:shd w:val="clear" w:color="auto" w:fill="0B3D6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Decisión Final</w:t>
            </w:r>
          </w:p>
        </w:tc>
      </w:tr>
      <w:tr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8"/>
              </w:rPr>
              <w:t>1. Pagos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Diseñar pasarelas múltiples (tarjeta, yape, paypal).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Propuso Abstract Factory con familias abstractas web/móvil.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Sobrediseño injustificado. No existen múltiples familias de productos; solo una variante de cobro.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8"/>
              </w:rPr>
              <w:t>Ajustado a Factory Method + Adapter.</w:t>
            </w:r>
          </w:p>
        </w:tc>
      </w:tr>
      <w:tr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8"/>
              </w:rPr>
              <w:t>2. Tarifas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Modelar descuentos dinámicos variables.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Propuso Chain of Responsibility para encadenar descuentos.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Inadecuado. Las tarifas son fórmulas comerciales prioritarias o excluyentes, no un pipeline de filtros.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8"/>
              </w:rPr>
              <w:t>Rechazado. Se seleccionó Strategy.</w:t>
            </w:r>
          </w:p>
        </w:tc>
      </w:tr>
      <w:tr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8"/>
              </w:rPr>
              <w:t>3. Avisos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Notificar a turista, guía y agencia al confirmar.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Propuso Mediator para coordinar las tres clases de aviso.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Falso arbitraje bidireccional. Los notificadores no se comunican entre sí; solo reciben un evento unidireccional.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8"/>
              </w:rPr>
              <w:t>Rechazado. Se seleccionó Observer.</w:t>
            </w:r>
          </w:p>
        </w:tc>
      </w:tr>
      <w:tr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8"/>
              </w:rPr>
              <w:t>4. AUTOCOLCA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Adaptar API externa con firmas incompatibles.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Propuso Facade para simplificar el subsistema.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Confusión conceptual. Facade simplifica muchas clases propias; el problema es adaptar una firma foránea única.</w:t>
            </w:r>
          </w:p>
        </w:tc>
        <w:tc>
          <w:tcPr>
            <w:tcW w:type="dxa" w:w="1872"/>
            <w:shd w:val="clear" w:color="auto" w:fill="F9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8"/>
              </w:rPr>
              <w:t>Corregido a Adapter (Capa Anticorrupción).</w:t>
            </w:r>
          </w:p>
        </w:tc>
      </w:tr>
      <w:tr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8"/>
              </w:rPr>
              <w:t>5. Disponibilidad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Atender consultas masivas de cupos por salida.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PROPUESTA DE PATERNITE: Implementar Proxy de caché en memoria.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color w:val="141414"/>
                <w:sz w:val="18"/>
              </w:rPr>
              <w:t>Detectada la sobreaplicación. Proxy en memoria causa desincronización y sobreventa en clúster cloud.</w:t>
            </w:r>
          </w:p>
        </w:tc>
        <w:tc>
          <w:tcPr>
            <w:tcW w:type="dxa" w:w="187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41414"/>
                <w:sz w:val="18"/>
              </w:rPr>
              <w:t>RECHAZO TOTAL DEL PATRÓN. Solución BD/HTTP.</w:t>
            </w:r>
          </w:p>
        </w:tc>
      </w:tr>
    </w:tbl>
    <w:p>
      <w:pPr>
        <w:keepNext/>
        <w:spacing w:before="400" w:after="120"/>
      </w:pPr>
      <w:r>
        <w:rPr>
          <w:rFonts w:ascii="Times New Roman" w:hAnsi="Times New Roman"/>
          <w:b/>
          <w:color w:val="0B3D62"/>
          <w:sz w:val="32"/>
        </w:rPr>
        <w:t>7. Implementación de Referencia y Verificación en Java 21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El código correspondiente a los 4 patrones seleccionados fue implementado en Java 21 en el paquete `com.rutacolca.patterns`. Las clases se encuentran organizadas en la carpeta `docs/patterns/ruta-colca/src/` del repositorio. La clase `DemoRutaColcaPatrones.java` integra y ejecuta la suite completa sin requerir dependencias externas. A continuación se presenta la captura de la salida por consola obtenida al compilar y ejecutar con JDK 22: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5F8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after="40" w:line="276" w:lineRule="auto"/>
              <w:jc w:val="both"/>
            </w:pPr>
            <w:r>
              <w:rPr>
                <w:rFonts w:ascii="Times New Roman" w:hAnsi="Times New Roman"/>
                <w:b/>
                <w:color w:val="0B3D62"/>
                <w:sz w:val="22"/>
              </w:rPr>
              <w:t>Evidencia de Ejecución en Consola (DemoRutaColcaPatrones.java):</w:t>
              <w:br/>
            </w:r>
            <w:r>
              <w:rPr>
                <w:rFonts w:ascii="Times New Roman" w:hAnsi="Times New Roman"/>
                <w:i/>
                <w:color w:val="141414"/>
                <w:sz w:val="22"/>
              </w:rPr>
              <w:t>======================================================================</w:t>
              <w:br/>
              <w:t xml:space="preserve">  RutaColca · Demostración de Patrones de Diseño GoF (Java 21)</w:t>
              <w:br/>
              <w:t>======================================================================</w:t>
              <w:br/>
              <w:br/>
              <w:t>[1] Validación de Boleto Turístico con Adapter:</w:t>
              <w:br/>
              <w:t xml:space="preserve">  -&gt; Código: BTC-2026-9941 | Válido: true | Boleto verificado satisfactoriamente ante AUTOCOLCA</w:t>
              <w:br/>
              <w:br/>
              <w:t>[2] Cálculo de Tarifas con Strategy:</w:t>
              <w:br/>
              <w:t xml:space="preserve">  -&gt; Tarifa Estándar (6 pasajeros): S/ 720.00</w:t>
              <w:br/>
              <w:t xml:space="preserve">  -&gt; Tarifa Temporada Alta (+25%): S/ 900.0000</w:t>
              <w:br/>
              <w:t xml:space="preserve">  -&gt; Tarifa Grupo (&gt;=5 pax, -15%): S/ 612.0000</w:t>
              <w:br/>
              <w:br/>
              <w:t>[3] Procesamiento Multipasarela con Factory + Adapter:</w:t>
              <w:br/>
              <w:t xml:space="preserve">  -&gt; Transferencia Yape confirmada para el número 959123456 por S/ 612.0000 (TX: TX-YAPE-1783875e)</w:t>
              <w:br/>
              <w:t xml:space="preserve">  -&gt; Cargo exitoso de S/ 612.0000 a tarjeta terminada en 4111-XXXX-XXXX-1111 (TX: TX-CARD-b5d00f1a)</w:t>
              <w:br/>
              <w:br/>
              <w:t>[4] Notificaciones Desacopladas con Observer:</w:t>
              <w:br/>
              <w:t xml:space="preserve">  [EMAIL] Enviando voucher digital a turista.aventura@gmail.com para tour Cañón del Colca Clásico 2D/1N</w:t>
              <w:br/>
              <w:t xml:space="preserve">  [WHATSAPP] Notificando al guía (+51958774411): Manifiesto actualizado con 6 cupo(s) nuevo(s).</w:t>
              <w:br/>
              <w:t xml:space="preserve">  [PWA AGENCIA] Sincronizando tablero en tiempo real para agencia AGENCIA-COLCA-TOURS-CHIVAY: Descontados 6 cupo(s).</w:t>
              <w:br/>
              <w:br/>
              <w:t>======================================================================</w:t>
              <w:br/>
              <w:t xml:space="preserve">  Demostración ejecutada exitosamente sin 'paternite'.</w:t>
              <w:br/>
              <w:t>======================================================================</w:t>
            </w:r>
          </w:p>
        </w:tc>
      </w:tr>
    </w:tbl>
    <w:p>
      <w:pPr>
        <w:spacing w:after="80"/>
      </w:pPr>
    </w:p>
    <w:p>
      <w:pPr>
        <w:keepNext/>
        <w:spacing w:before="400" w:after="120"/>
      </w:pPr>
      <w:r>
        <w:rPr>
          <w:rFonts w:ascii="Times New Roman" w:hAnsi="Times New Roman"/>
          <w:b/>
          <w:color w:val="0B3D62"/>
          <w:sz w:val="32"/>
        </w:rPr>
        <w:t>8. Ticket de Salida de la Sesión (Semana 09)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Interrogante Oficial: </w:t>
      </w:r>
      <w:r>
        <w:rPr>
          <w:rFonts w:ascii="Times New Roman" w:hAnsi="Times New Roman"/>
          <w:i w:val="0"/>
          <w:color w:val="141414"/>
          <w:sz w:val="24"/>
        </w:rPr>
        <w:t>Pregunta del Ticket de Salida (Slide 37):</w:t>
        <w:br/>
        <w:t>«Un banco nuevo ofrece pagos con su propia API. ¿Qué patrón usaría en RutaColca y qué clase nueva crearía? Justifique».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5F8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after="40" w:line="276" w:lineRule="auto"/>
              <w:jc w:val="both"/>
            </w:pPr>
            <w:r>
              <w:rPr>
                <w:rFonts w:ascii="Times New Roman" w:hAnsi="Times New Roman"/>
                <w:b/>
                <w:color w:val="0B3D62"/>
                <w:sz w:val="22"/>
              </w:rPr>
              <w:t>Dictamen del Ticket de Salida:</w:t>
              <w:br/>
            </w:r>
            <w:r>
              <w:rPr>
                <w:rFonts w:ascii="Times New Roman" w:hAnsi="Times New Roman"/>
                <w:i/>
                <w:color w:val="141414"/>
                <w:sz w:val="22"/>
              </w:rPr>
              <w:t>Respuesta fundamentada del equipo:</w:t>
              <w:br/>
              <w:t>Usaríamos el patrón Adaptador (Adapter) creando una nueva clase concreta denominada BancoNuevoAdapter que implemente la interfaz común PasarelaPago. Esta clase envolverá al cliente o SDK del banco nuevo, traduciendo el método cobrar(monto, cuenta) a la firma propietaria del banco. Asimismo, en la fábrica PasarelaPagoFactory se añade el nuevo valor del enum BANCO_NUEVO. De este modo, se respeta estrictamente el principio Abierto/Cerrado (OCP), ya que la lógica de negocio de cobro en ReservaService permanece completamente cerrada a modificaciones.</w:t>
            </w:r>
          </w:p>
        </w:tc>
      </w:tr>
    </w:tbl>
    <w:p>
      <w:pPr>
        <w:spacing w:after="80"/>
      </w:pPr>
    </w:p>
    <w:p>
      <w:pPr>
        <w:keepNext/>
        <w:spacing w:before="400" w:after="120"/>
      </w:pPr>
      <w:r>
        <w:rPr>
          <w:rFonts w:ascii="Times New Roman" w:hAnsi="Times New Roman"/>
          <w:b/>
          <w:color w:val="0B3D62"/>
          <w:sz w:val="32"/>
        </w:rPr>
        <w:t>9. Conclusiones y Referencias Bibliográficas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• </w:t>
      </w:r>
      <w:r>
        <w:rPr>
          <w:rFonts w:ascii="Times New Roman" w:hAnsi="Times New Roman"/>
          <w:i w:val="0"/>
          <w:color w:val="141414"/>
          <w:sz w:val="24"/>
        </w:rPr>
        <w:t>1. Aplicación justificada de patrones: Los patrones GoF resolvieron problemas reales de desacoplamiento en pagos (Factory+Adapter), tarificación (Strategy), notificaciones (Observer) e integración legada (Adapter), facilitando el crecimiento de RutaColca sin introducir rigidez.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• </w:t>
      </w:r>
      <w:r>
        <w:rPr>
          <w:rFonts w:ascii="Times New Roman" w:hAnsi="Times New Roman"/>
          <w:i w:val="0"/>
          <w:color w:val="141414"/>
          <w:sz w:val="24"/>
        </w:rPr>
        <w:t>2. Triunfo del criterio de ingeniería sobre la 'paternite': El mayor aporte formativo de la actividad radicó en identificar que el Escenario 5 no requería un patrón Proxy artesanal, demostrando que un índice relacional B-Tree y la caché HTTP son más simples, confiables y eficientes.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color w:val="141414"/>
          <w:sz w:val="24"/>
        </w:rPr>
        <w:t xml:space="preserve">• </w:t>
      </w:r>
      <w:r>
        <w:rPr>
          <w:rFonts w:ascii="Times New Roman" w:hAnsi="Times New Roman"/>
          <w:i w:val="0"/>
          <w:color w:val="141414"/>
          <w:sz w:val="24"/>
        </w:rPr>
        <w:t>3. Rol de la IA en el diseño de software: La IA demostró ser un buen generador de esqueletos de código, pero sufre de un sesgo recurrente hacia el sobrediseño y la sobreaplicación de patrones. El criterio de ingeniería humano es insustituible para evaluar la viabilidad real.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1B5E8B"/>
          <w:sz w:val="27"/>
        </w:rPr>
        <w:t>Referencias Bibliográficas (Norma APA 7ma Edición)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Gamma, E., Helm, R., Johnson, R., &amp; Vlissides, J. (1994). Design patterns: Elements of reusable object-oriented software. Addison-Wesley.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Freeman, E., &amp; Robson, E. (2020). Head first design patterns (2nd ed.). O'Reilly Media.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Ousterhout, J. (2018). A philosophy of software design. Yaknyam Press.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Refactoring.Guru. (s. f.). Patrones de diseño. https://refactoring.guru/es/design-patterns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color w:val="141414"/>
          <w:sz w:val="24"/>
        </w:rPr>
        <w:t>Valente, M. T. (2020). Engenharia de software moderna (cap. 5: Princípios de projeto; cap. 6: Padrões de projeto). Independente. https://engsoftmoderna.info/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787878"/>
        <w:sz w:val="18"/>
      </w:rPr>
      <w:t>Construcción de Software (2026-B) · EPIS UNSA | Tema 09: Patrones de Diseño (AG-09)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