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Times New Roman" w:hAnsi="Times New Roman"/>
          <w:b/>
          <w:color w:val="0B3D62"/>
          <w:sz w:val="32"/>
        </w:rPr>
        <w:t>UNIVERSIDAD NACIONAL DE SAN AGUSTÍN DE AREQUIPA</w:t>
      </w:r>
    </w:p>
    <w:p>
      <w:pPr>
        <w:spacing w:after="400"/>
        <w:jc w:val="center"/>
      </w:pPr>
      <w:r>
        <w:rPr>
          <w:rFonts w:ascii="Times New Roman" w:hAnsi="Times New Roman"/>
          <w:b/>
          <w:color w:val="1B5E8B"/>
          <w:sz w:val="26"/>
        </w:rPr>
        <w:t>FACULTAD DE INGENIERÍA DE PRODUCCIÓN Y SERVICIOS</w:t>
        <w:br/>
        <w:t>ESCUELA PROFESIONAL DE INGENIERÍA DE SISTEMAS</w:t>
      </w:r>
    </w:p>
    <w:p>
      <w:pPr>
        <w:spacing w:before="600" w:after="160"/>
        <w:jc w:val="center"/>
      </w:pPr>
      <w:r>
        <w:rPr>
          <w:rFonts w:ascii="Times New Roman" w:hAnsi="Times New Roman"/>
          <w:b/>
          <w:color w:val="0B3D62"/>
          <w:sz w:val="40"/>
        </w:rPr>
        <w:t>INFORME TÉCNICO DE INGENIERÍA DE SOFTWARE</w:t>
      </w:r>
    </w:p>
    <w:p>
      <w:pPr>
        <w:spacing w:after="800"/>
        <w:jc w:val="center"/>
      </w:pPr>
      <w:r>
        <w:rPr>
          <w:rFonts w:ascii="Times New Roman" w:hAnsi="Times New Roman"/>
          <w:b/>
          <w:color w:val="1B5E8B"/>
          <w:sz w:val="26"/>
        </w:rPr>
        <w:t>ARQUITECTURA DE SOFTWARE C4 Y PATRONES DE DISEÑO GOF</w:t>
        <w:br/>
        <w:t>EN LA PLATAFORMA INTEGRAL «RUTACOLCA»</w:t>
        <w:br/>
        <w:t>Casos Prácticos AG-08 y AG-09 (Semanas 08 y 09)</w:t>
      </w:r>
    </w:p>
    <w:tbl>
      <w:tblPr>
        <w:tblW w:type="auto" w:w="0"/>
        <w:jc w:val="center"/>
        <w:tblLook w:firstColumn="1" w:firstRow="1" w:lastColumn="0" w:lastRow="0" w:noHBand="0" w:noVBand="1" w:val="04A0"/>
      </w:tblPr>
      <w:tblGrid>
        <w:gridCol w:w="4680"/>
        <w:gridCol w:w="4680"/>
      </w:tblGrid>
      <w:tr>
        <w:tc>
          <w:tcPr>
            <w:tcW w:type="dxa" w:w="3168"/>
            <w:shd w:val="clear" w:color="auto" w:fill="F5F7FA"/>
            <w:tcMar>
              <w:top w:w="60" w:type="dxa"/>
              <w:bottom w:w="60" w:type="dxa"/>
              <w:left w:w="80" w:type="dxa"/>
              <w:right w:w="80" w:type="dxa"/>
            </w:tcMar>
          </w:tcPr>
          <w:p>
            <w:pPr>
              <w:spacing w:after="40"/>
            </w:pPr>
            <w:r>
              <w:rPr>
                <w:rFonts w:ascii="Times New Roman" w:hAnsi="Times New Roman"/>
                <w:b/>
                <w:color w:val="0B3D62"/>
                <w:sz w:val="22"/>
              </w:rPr>
              <w:t>Asignatura:</w:t>
            </w:r>
          </w:p>
        </w:tc>
        <w:tc>
          <w:tcPr>
            <w:tcW w:type="dxa" w:w="6192"/>
            <w:shd w:val="clear" w:color="auto" w:fill="FFFFFF"/>
            <w:tcMar>
              <w:top w:w="60" w:type="dxa"/>
              <w:bottom w:w="60" w:type="dxa"/>
              <w:left w:w="80" w:type="dxa"/>
              <w:right w:w="80" w:type="dxa"/>
            </w:tcMar>
          </w:tcPr>
          <w:p>
            <w:pPr>
              <w:spacing w:after="40"/>
            </w:pPr>
            <w:r>
              <w:rPr>
                <w:rFonts w:ascii="Times New Roman" w:hAnsi="Times New Roman"/>
                <w:color w:val="141414"/>
                <w:sz w:val="22"/>
              </w:rPr>
              <w:t>Construcción de Software (Código: 1703243) — Semestre 2026-B</w:t>
            </w:r>
          </w:p>
        </w:tc>
      </w:tr>
      <w:tr>
        <w:tc>
          <w:tcPr>
            <w:tcW w:type="dxa" w:w="3168"/>
            <w:shd w:val="clear" w:color="auto" w:fill="F5F7FA"/>
            <w:tcMar>
              <w:top w:w="60" w:type="dxa"/>
              <w:bottom w:w="60" w:type="dxa"/>
              <w:left w:w="80" w:type="dxa"/>
              <w:right w:w="80" w:type="dxa"/>
            </w:tcMar>
          </w:tcPr>
          <w:p>
            <w:pPr>
              <w:spacing w:after="40"/>
            </w:pPr>
            <w:r>
              <w:rPr>
                <w:rFonts w:ascii="Times New Roman" w:hAnsi="Times New Roman"/>
                <w:b/>
                <w:color w:val="0B3D62"/>
                <w:sz w:val="22"/>
              </w:rPr>
              <w:t>Docente:</w:t>
            </w:r>
          </w:p>
        </w:tc>
        <w:tc>
          <w:tcPr>
            <w:tcW w:type="dxa" w:w="6192"/>
            <w:shd w:val="clear" w:color="auto" w:fill="FFFFFF"/>
            <w:tcMar>
              <w:top w:w="60" w:type="dxa"/>
              <w:bottom w:w="60" w:type="dxa"/>
              <w:left w:w="80" w:type="dxa"/>
              <w:right w:w="80" w:type="dxa"/>
            </w:tcMar>
          </w:tcPr>
          <w:p>
            <w:pPr>
              <w:spacing w:after="40"/>
            </w:pPr>
            <w:r>
              <w:rPr>
                <w:rFonts w:ascii="Times New Roman" w:hAnsi="Times New Roman"/>
                <w:color w:val="141414"/>
                <w:sz w:val="22"/>
              </w:rPr>
              <w:t>Mg. Antonio Arroyo Paz (aarroyop@unsa.edu.pe)</w:t>
            </w:r>
          </w:p>
        </w:tc>
      </w:tr>
      <w:tr>
        <w:tc>
          <w:tcPr>
            <w:tcW w:type="dxa" w:w="3168"/>
            <w:shd w:val="clear" w:color="auto" w:fill="F5F7FA"/>
            <w:tcMar>
              <w:top w:w="60" w:type="dxa"/>
              <w:bottom w:w="60" w:type="dxa"/>
              <w:left w:w="80" w:type="dxa"/>
              <w:right w:w="80" w:type="dxa"/>
            </w:tcMar>
          </w:tcPr>
          <w:p>
            <w:pPr>
              <w:spacing w:after="40"/>
            </w:pPr>
            <w:r>
              <w:rPr>
                <w:rFonts w:ascii="Times New Roman" w:hAnsi="Times New Roman"/>
                <w:b/>
                <w:color w:val="0B3D62"/>
                <w:sz w:val="22"/>
              </w:rPr>
              <w:t>Competencias ABET:</w:t>
            </w:r>
          </w:p>
        </w:tc>
        <w:tc>
          <w:tcPr>
            <w:tcW w:type="dxa" w:w="6192"/>
            <w:shd w:val="clear" w:color="auto" w:fill="FFFFFF"/>
            <w:tcMar>
              <w:top w:w="60" w:type="dxa"/>
              <w:bottom w:w="60" w:type="dxa"/>
              <w:left w:w="80" w:type="dxa"/>
              <w:right w:w="80" w:type="dxa"/>
            </w:tcMar>
          </w:tcPr>
          <w:p>
            <w:pPr>
              <w:spacing w:after="40"/>
            </w:pPr>
            <w:r>
              <w:rPr>
                <w:rFonts w:ascii="Times New Roman" w:hAnsi="Times New Roman"/>
                <w:color w:val="141414"/>
                <w:sz w:val="22"/>
              </w:rPr>
              <w:t>C.c (Diseño con restricciones realistas) · C.d (Trabajo en equipo) · C.g (Comunicación)</w:t>
            </w:r>
          </w:p>
        </w:tc>
      </w:tr>
      <w:tr>
        <w:tc>
          <w:tcPr>
            <w:tcW w:type="dxa" w:w="3168"/>
            <w:shd w:val="clear" w:color="auto" w:fill="F5F7FA"/>
            <w:tcMar>
              <w:top w:w="60" w:type="dxa"/>
              <w:bottom w:w="60" w:type="dxa"/>
              <w:left w:w="80" w:type="dxa"/>
              <w:right w:w="80" w:type="dxa"/>
            </w:tcMar>
          </w:tcPr>
          <w:p>
            <w:pPr>
              <w:spacing w:after="40"/>
            </w:pPr>
            <w:r>
              <w:rPr>
                <w:rFonts w:ascii="Times New Roman" w:hAnsi="Times New Roman"/>
                <w:b/>
                <w:color w:val="0B3D62"/>
                <w:sz w:val="22"/>
              </w:rPr>
              <w:t>Repositorio GitHub:</w:t>
            </w:r>
          </w:p>
        </w:tc>
        <w:tc>
          <w:tcPr>
            <w:tcW w:type="dxa" w:w="6192"/>
            <w:shd w:val="clear" w:color="auto" w:fill="FFFFFF"/>
            <w:tcMar>
              <w:top w:w="60" w:type="dxa"/>
              <w:bottom w:w="60" w:type="dxa"/>
              <w:left w:w="80" w:type="dxa"/>
              <w:right w:w="80" w:type="dxa"/>
            </w:tcMar>
          </w:tcPr>
          <w:p>
            <w:pPr>
              <w:spacing w:after="40"/>
            </w:pPr>
            <w:r>
              <w:rPr>
                <w:rFonts w:ascii="Times New Roman" w:hAnsi="Times New Roman"/>
                <w:color w:val="141414"/>
                <w:sz w:val="22"/>
              </w:rPr>
              <w:t>https://github.com/leonardobaca7/rutaColca_C4.git</w:t>
            </w:r>
          </w:p>
        </w:tc>
      </w:tr>
      <w:tr>
        <w:tc>
          <w:tcPr>
            <w:tcW w:type="dxa" w:w="3168"/>
            <w:shd w:val="clear" w:color="auto" w:fill="F5F7FA"/>
            <w:tcMar>
              <w:top w:w="60" w:type="dxa"/>
              <w:bottom w:w="60" w:type="dxa"/>
              <w:left w:w="80" w:type="dxa"/>
              <w:right w:w="80" w:type="dxa"/>
            </w:tcMar>
          </w:tcPr>
          <w:p>
            <w:pPr>
              <w:spacing w:after="40"/>
            </w:pPr>
            <w:r>
              <w:rPr>
                <w:rFonts w:ascii="Times New Roman" w:hAnsi="Times New Roman"/>
                <w:b/>
                <w:color w:val="0B3D62"/>
                <w:sz w:val="22"/>
              </w:rPr>
              <w:t>Ciudad y Fecha:</w:t>
            </w:r>
          </w:p>
        </w:tc>
        <w:tc>
          <w:tcPr>
            <w:tcW w:type="dxa" w:w="6192"/>
            <w:shd w:val="clear" w:color="auto" w:fill="FFFFFF"/>
            <w:tcMar>
              <w:top w:w="60" w:type="dxa"/>
              <w:bottom w:w="60" w:type="dxa"/>
              <w:left w:w="80" w:type="dxa"/>
              <w:right w:w="80" w:type="dxa"/>
            </w:tcMar>
          </w:tcPr>
          <w:p>
            <w:pPr>
              <w:spacing w:after="40"/>
            </w:pPr>
            <w:r>
              <w:rPr>
                <w:rFonts w:ascii="Times New Roman" w:hAnsi="Times New Roman"/>
                <w:color w:val="141414"/>
                <w:sz w:val="22"/>
              </w:rPr>
              <w:t>Arequipa, Octubre de 2026</w:t>
            </w:r>
          </w:p>
        </w:tc>
      </w:tr>
    </w:tbl>
    <w:p>
      <w:pPr>
        <w:spacing w:before="600" w:after="120"/>
      </w:pPr>
      <w:r>
        <w:rPr>
          <w:rFonts w:ascii="Times New Roman" w:hAnsi="Times New Roman"/>
          <w:b/>
          <w:color w:val="0B3D62"/>
          <w:sz w:val="24"/>
        </w:rPr>
        <w:t>Autores e Integrantes del Equipo:</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3D62"/>
            <w:tcMar>
              <w:top w:w="80" w:type="dxa"/>
              <w:bottom w:w="80" w:type="dxa"/>
              <w:left w:w="90" w:type="dxa"/>
              <w:right w:w="90" w:type="dxa"/>
            </w:tcMar>
          </w:tcPr>
          <w:p>
            <w:pPr>
              <w:spacing w:after="40"/>
            </w:pPr>
            <w:r>
              <w:rPr>
                <w:rFonts w:ascii="Times New Roman" w:hAnsi="Times New Roman"/>
                <w:b/>
                <w:color w:val="FFFFFF"/>
                <w:sz w:val="20"/>
              </w:rPr>
              <w:t>Estudiante</w:t>
            </w:r>
          </w:p>
        </w:tc>
        <w:tc>
          <w:tcPr>
            <w:tcW w:type="dxa" w:w="2340"/>
            <w:shd w:val="clear" w:color="auto" w:fill="0B3D62"/>
            <w:tcMar>
              <w:top w:w="80" w:type="dxa"/>
              <w:bottom w:w="80" w:type="dxa"/>
              <w:left w:w="90" w:type="dxa"/>
              <w:right w:w="90" w:type="dxa"/>
            </w:tcMar>
          </w:tcPr>
          <w:p>
            <w:pPr>
              <w:spacing w:after="40"/>
            </w:pPr>
            <w:r>
              <w:rPr>
                <w:rFonts w:ascii="Times New Roman" w:hAnsi="Times New Roman"/>
                <w:b/>
                <w:color w:val="FFFFFF"/>
                <w:sz w:val="20"/>
              </w:rPr>
              <w:t>Correo Institucional</w:t>
            </w:r>
          </w:p>
        </w:tc>
        <w:tc>
          <w:tcPr>
            <w:tcW w:type="dxa" w:w="2340"/>
            <w:shd w:val="clear" w:color="auto" w:fill="0B3D62"/>
            <w:tcMar>
              <w:top w:w="80" w:type="dxa"/>
              <w:bottom w:w="80" w:type="dxa"/>
              <w:left w:w="90" w:type="dxa"/>
              <w:right w:w="90" w:type="dxa"/>
            </w:tcMar>
          </w:tcPr>
          <w:p>
            <w:pPr>
              <w:spacing w:after="40"/>
            </w:pPr>
            <w:r>
              <w:rPr>
                <w:rFonts w:ascii="Times New Roman" w:hAnsi="Times New Roman"/>
                <w:b/>
                <w:color w:val="FFFFFF"/>
                <w:sz w:val="20"/>
              </w:rPr>
              <w:t>Rol AG-08 (C4)</w:t>
            </w:r>
          </w:p>
        </w:tc>
        <w:tc>
          <w:tcPr>
            <w:tcW w:type="dxa" w:w="2340"/>
            <w:shd w:val="clear" w:color="auto" w:fill="0B3D62"/>
            <w:tcMar>
              <w:top w:w="80" w:type="dxa"/>
              <w:bottom w:w="80" w:type="dxa"/>
              <w:left w:w="90" w:type="dxa"/>
              <w:right w:w="90" w:type="dxa"/>
            </w:tcMar>
          </w:tcPr>
          <w:p>
            <w:pPr>
              <w:spacing w:after="40"/>
            </w:pPr>
            <w:r>
              <w:rPr>
                <w:rFonts w:ascii="Times New Roman" w:hAnsi="Times New Roman"/>
                <w:b/>
                <w:color w:val="FFFFFF"/>
                <w:sz w:val="20"/>
              </w:rPr>
              <w:t>Rol AG-09 (Patrones)</w:t>
            </w:r>
          </w:p>
        </w:tc>
      </w:tr>
      <w:tr>
        <w:tc>
          <w:tcPr>
            <w:tcW w:type="dxa" w:w="2340"/>
            <w:shd w:val="clear" w:color="auto" w:fill="FFFFFF"/>
            <w:tcMar>
              <w:top w:w="60" w:type="dxa"/>
              <w:bottom w:w="60" w:type="dxa"/>
              <w:left w:w="80" w:type="dxa"/>
              <w:right w:w="80" w:type="dxa"/>
            </w:tcMar>
          </w:tcPr>
          <w:p>
            <w:pPr>
              <w:spacing w:after="40"/>
            </w:pPr>
            <w:r>
              <w:rPr>
                <w:rFonts w:ascii="Times New Roman" w:hAnsi="Times New Roman"/>
                <w:b/>
                <w:color w:val="141414"/>
                <w:sz w:val="20"/>
              </w:rPr>
              <w:t>Emanuel Hilacondo Begazo</w:t>
            </w:r>
          </w:p>
        </w:tc>
        <w:tc>
          <w:tcPr>
            <w:tcW w:type="dxa" w:w="2340"/>
            <w:shd w:val="clear" w:color="auto" w:fill="FFFFFF"/>
            <w:tcMar>
              <w:top w:w="60" w:type="dxa"/>
              <w:bottom w:w="60" w:type="dxa"/>
              <w:left w:w="80" w:type="dxa"/>
              <w:right w:w="80" w:type="dxa"/>
            </w:tcMar>
          </w:tcPr>
          <w:p>
            <w:pPr>
              <w:spacing w:after="40"/>
            </w:pPr>
            <w:r>
              <w:rPr>
                <w:rFonts w:ascii="Times New Roman" w:hAnsi="Times New Roman"/>
                <w:color w:val="141414"/>
                <w:sz w:val="20"/>
              </w:rPr>
              <w:t>ehilacondob@unsa.edu.pe</w:t>
            </w:r>
          </w:p>
        </w:tc>
        <w:tc>
          <w:tcPr>
            <w:tcW w:type="dxa" w:w="2340"/>
            <w:shd w:val="clear" w:color="auto" w:fill="FFFFFF"/>
            <w:tcMar>
              <w:top w:w="60" w:type="dxa"/>
              <w:bottom w:w="60" w:type="dxa"/>
              <w:left w:w="80" w:type="dxa"/>
              <w:right w:w="80" w:type="dxa"/>
            </w:tcMar>
          </w:tcPr>
          <w:p>
            <w:pPr>
              <w:spacing w:after="40"/>
            </w:pPr>
            <w:r>
              <w:rPr>
                <w:rFonts w:ascii="Times New Roman" w:hAnsi="Times New Roman"/>
                <w:color w:val="141414"/>
                <w:sz w:val="20"/>
              </w:rPr>
              <w:t>Modelador / Revisor</w:t>
            </w:r>
          </w:p>
        </w:tc>
        <w:tc>
          <w:tcPr>
            <w:tcW w:type="dxa" w:w="2340"/>
            <w:shd w:val="clear" w:color="auto" w:fill="FFFFFF"/>
            <w:tcMar>
              <w:top w:w="60" w:type="dxa"/>
              <w:bottom w:w="60" w:type="dxa"/>
              <w:left w:w="80" w:type="dxa"/>
              <w:right w:w="80" w:type="dxa"/>
            </w:tcMar>
          </w:tcPr>
          <w:p>
            <w:pPr>
              <w:spacing w:after="40"/>
            </w:pPr>
            <w:r>
              <w:rPr>
                <w:rFonts w:ascii="Times New Roman" w:hAnsi="Times New Roman"/>
                <w:color w:val="141414"/>
                <w:sz w:val="20"/>
              </w:rPr>
              <w:t>Analista de Diseño</w:t>
            </w:r>
          </w:p>
        </w:tc>
      </w:tr>
      <w:tr>
        <w:tc>
          <w:tcPr>
            <w:tcW w:type="dxa" w:w="2340"/>
            <w:shd w:val="clear" w:color="auto" w:fill="F9FAFC"/>
            <w:tcMar>
              <w:top w:w="60" w:type="dxa"/>
              <w:bottom w:w="60" w:type="dxa"/>
              <w:left w:w="80" w:type="dxa"/>
              <w:right w:w="80" w:type="dxa"/>
            </w:tcMar>
          </w:tcPr>
          <w:p>
            <w:pPr>
              <w:spacing w:after="40"/>
            </w:pPr>
            <w:r>
              <w:rPr>
                <w:rFonts w:ascii="Times New Roman" w:hAnsi="Times New Roman"/>
                <w:b/>
                <w:color w:val="141414"/>
                <w:sz w:val="20"/>
              </w:rPr>
              <w:t>Leonardo Juan José Baca Calsin</w:t>
            </w:r>
          </w:p>
        </w:tc>
        <w:tc>
          <w:tcPr>
            <w:tcW w:type="dxa" w:w="2340"/>
            <w:shd w:val="clear" w:color="auto" w:fill="F9FAFC"/>
            <w:tcMar>
              <w:top w:w="60" w:type="dxa"/>
              <w:bottom w:w="60" w:type="dxa"/>
              <w:left w:w="80" w:type="dxa"/>
              <w:right w:w="80" w:type="dxa"/>
            </w:tcMar>
          </w:tcPr>
          <w:p>
            <w:pPr>
              <w:spacing w:after="40"/>
            </w:pPr>
            <w:r>
              <w:rPr>
                <w:rFonts w:ascii="Times New Roman" w:hAnsi="Times New Roman"/>
                <w:color w:val="141414"/>
                <w:sz w:val="20"/>
              </w:rPr>
              <w:t>lbacac@unsa.edu.pe</w:t>
            </w:r>
          </w:p>
        </w:tc>
        <w:tc>
          <w:tcPr>
            <w:tcW w:type="dxa" w:w="2340"/>
            <w:shd w:val="clear" w:color="auto" w:fill="F9FAFC"/>
            <w:tcMar>
              <w:top w:w="60" w:type="dxa"/>
              <w:bottom w:w="60" w:type="dxa"/>
              <w:left w:w="80" w:type="dxa"/>
              <w:right w:w="80" w:type="dxa"/>
            </w:tcMar>
          </w:tcPr>
          <w:p>
            <w:pPr>
              <w:spacing w:after="40"/>
            </w:pPr>
            <w:r>
              <w:rPr>
                <w:rFonts w:ascii="Times New Roman" w:hAnsi="Times New Roman"/>
                <w:color w:val="141414"/>
                <w:sz w:val="20"/>
              </w:rPr>
              <w:t>Redactor DSL / Vocero</w:t>
            </w:r>
          </w:p>
        </w:tc>
        <w:tc>
          <w:tcPr>
            <w:tcW w:type="dxa" w:w="2340"/>
            <w:shd w:val="clear" w:color="auto" w:fill="F9FAFC"/>
            <w:tcMar>
              <w:top w:w="60" w:type="dxa"/>
              <w:bottom w:w="60" w:type="dxa"/>
              <w:left w:w="80" w:type="dxa"/>
              <w:right w:w="80" w:type="dxa"/>
            </w:tcMar>
          </w:tcPr>
          <w:p>
            <w:pPr>
              <w:spacing w:after="40"/>
            </w:pPr>
            <w:r>
              <w:rPr>
                <w:rFonts w:ascii="Times New Roman" w:hAnsi="Times New Roman"/>
                <w:color w:val="141414"/>
                <w:sz w:val="20"/>
              </w:rPr>
              <w:t>Líder Técnico e Implementación</w:t>
            </w:r>
          </w:p>
        </w:tc>
      </w:tr>
      <w:tr>
        <w:tc>
          <w:tcPr>
            <w:tcW w:type="dxa" w:w="2340"/>
            <w:shd w:val="clear" w:color="auto" w:fill="FFFFFF"/>
            <w:tcMar>
              <w:top w:w="60" w:type="dxa"/>
              <w:bottom w:w="60" w:type="dxa"/>
              <w:left w:w="80" w:type="dxa"/>
              <w:right w:w="80" w:type="dxa"/>
            </w:tcMar>
          </w:tcPr>
          <w:p>
            <w:pPr>
              <w:spacing w:after="40"/>
            </w:pPr>
            <w:r>
              <w:rPr>
                <w:rFonts w:ascii="Times New Roman" w:hAnsi="Times New Roman"/>
                <w:b/>
                <w:color w:val="141414"/>
                <w:sz w:val="20"/>
              </w:rPr>
              <w:t>Mauro Snayder Sullca Mamani</w:t>
            </w:r>
          </w:p>
        </w:tc>
        <w:tc>
          <w:tcPr>
            <w:tcW w:type="dxa" w:w="2340"/>
            <w:shd w:val="clear" w:color="auto" w:fill="FFFFFF"/>
            <w:tcMar>
              <w:top w:w="60" w:type="dxa"/>
              <w:bottom w:w="60" w:type="dxa"/>
              <w:left w:w="80" w:type="dxa"/>
              <w:right w:w="80" w:type="dxa"/>
            </w:tcMar>
          </w:tcPr>
          <w:p>
            <w:pPr>
              <w:spacing w:after="40"/>
            </w:pPr>
            <w:r>
              <w:rPr>
                <w:rFonts w:ascii="Times New Roman" w:hAnsi="Times New Roman"/>
                <w:color w:val="141414"/>
                <w:sz w:val="20"/>
              </w:rPr>
              <w:t>msullcam@unsa.edu.pe</w:t>
            </w:r>
          </w:p>
        </w:tc>
        <w:tc>
          <w:tcPr>
            <w:tcW w:type="dxa" w:w="2340"/>
            <w:shd w:val="clear" w:color="auto" w:fill="FFFFFF"/>
            <w:tcMar>
              <w:top w:w="60" w:type="dxa"/>
              <w:bottom w:w="60" w:type="dxa"/>
              <w:left w:w="80" w:type="dxa"/>
              <w:right w:w="80" w:type="dxa"/>
            </w:tcMar>
          </w:tcPr>
          <w:p>
            <w:pPr>
              <w:spacing w:after="40"/>
            </w:pPr>
            <w:r>
              <w:rPr>
                <w:rFonts w:ascii="Times New Roman" w:hAnsi="Times New Roman"/>
                <w:color w:val="141414"/>
                <w:sz w:val="20"/>
              </w:rPr>
              <w:t>Revisor / Redactor DSL</w:t>
            </w:r>
          </w:p>
        </w:tc>
        <w:tc>
          <w:tcPr>
            <w:tcW w:type="dxa" w:w="2340"/>
            <w:shd w:val="clear" w:color="auto" w:fill="FFFFFF"/>
            <w:tcMar>
              <w:top w:w="60" w:type="dxa"/>
              <w:bottom w:w="60" w:type="dxa"/>
              <w:left w:w="80" w:type="dxa"/>
              <w:right w:w="80" w:type="dxa"/>
            </w:tcMar>
          </w:tcPr>
          <w:p>
            <w:pPr>
              <w:spacing w:after="40"/>
            </w:pPr>
            <w:r>
              <w:rPr>
                <w:rFonts w:ascii="Times New Roman" w:hAnsi="Times New Roman"/>
                <w:color w:val="141414"/>
                <w:sz w:val="20"/>
              </w:rPr>
              <w:t>Evaluador de Arquitectura</w:t>
            </w:r>
          </w:p>
        </w:tc>
      </w:tr>
      <w:tr>
        <w:tc>
          <w:tcPr>
            <w:tcW w:type="dxa" w:w="2340"/>
            <w:shd w:val="clear" w:color="auto" w:fill="F9FAFC"/>
            <w:tcMar>
              <w:top w:w="60" w:type="dxa"/>
              <w:bottom w:w="60" w:type="dxa"/>
              <w:left w:w="80" w:type="dxa"/>
              <w:right w:w="80" w:type="dxa"/>
            </w:tcMar>
          </w:tcPr>
          <w:p>
            <w:pPr>
              <w:spacing w:after="40"/>
            </w:pPr>
            <w:r>
              <w:rPr>
                <w:rFonts w:ascii="Times New Roman" w:hAnsi="Times New Roman"/>
                <w:b/>
                <w:color w:val="141414"/>
                <w:sz w:val="20"/>
              </w:rPr>
              <w:t>German Arturo Chipana Jeronimo</w:t>
            </w:r>
          </w:p>
        </w:tc>
        <w:tc>
          <w:tcPr>
            <w:tcW w:type="dxa" w:w="2340"/>
            <w:shd w:val="clear" w:color="auto" w:fill="F9FAFC"/>
            <w:tcMar>
              <w:top w:w="60" w:type="dxa"/>
              <w:bottom w:w="60" w:type="dxa"/>
              <w:left w:w="80" w:type="dxa"/>
              <w:right w:w="80" w:type="dxa"/>
            </w:tcMar>
          </w:tcPr>
          <w:p>
            <w:pPr>
              <w:spacing w:after="40"/>
            </w:pPr>
            <w:r>
              <w:rPr>
                <w:rFonts w:ascii="Times New Roman" w:hAnsi="Times New Roman"/>
                <w:color w:val="141414"/>
                <w:sz w:val="20"/>
              </w:rPr>
              <w:t>gchipanaj@unsa.edu.pe</w:t>
            </w:r>
          </w:p>
        </w:tc>
        <w:tc>
          <w:tcPr>
            <w:tcW w:type="dxa" w:w="2340"/>
            <w:shd w:val="clear" w:color="auto" w:fill="F9FAFC"/>
            <w:tcMar>
              <w:top w:w="60" w:type="dxa"/>
              <w:bottom w:w="60" w:type="dxa"/>
              <w:left w:w="80" w:type="dxa"/>
              <w:right w:w="80" w:type="dxa"/>
            </w:tcMar>
          </w:tcPr>
          <w:p>
            <w:pPr>
              <w:spacing w:after="40"/>
            </w:pPr>
            <w:r>
              <w:rPr>
                <w:rFonts w:ascii="Times New Roman" w:hAnsi="Times New Roman"/>
                <w:color w:val="141414"/>
                <w:sz w:val="20"/>
              </w:rPr>
              <w:t>Vocero / Modelador</w:t>
            </w:r>
          </w:p>
        </w:tc>
        <w:tc>
          <w:tcPr>
            <w:tcW w:type="dxa" w:w="2340"/>
            <w:shd w:val="clear" w:color="auto" w:fill="F9FAFC"/>
            <w:tcMar>
              <w:top w:w="60" w:type="dxa"/>
              <w:bottom w:w="60" w:type="dxa"/>
              <w:left w:w="80" w:type="dxa"/>
              <w:right w:w="80" w:type="dxa"/>
            </w:tcMar>
          </w:tcPr>
          <w:p>
            <w:pPr>
              <w:spacing w:after="40"/>
            </w:pPr>
            <w:r>
              <w:rPr>
                <w:rFonts w:ascii="Times New Roman" w:hAnsi="Times New Roman"/>
                <w:color w:val="141414"/>
                <w:sz w:val="20"/>
              </w:rPr>
              <w:t>Diseñador de Modelos UML</w:t>
            </w:r>
          </w:p>
        </w:tc>
      </w:tr>
    </w:tbl>
    <w:p>
      <w:r>
        <w:br w:type="page"/>
      </w:r>
    </w:p>
    <w:p>
      <w:pPr>
        <w:keepNext/>
        <w:spacing w:before="400" w:after="120"/>
      </w:pPr>
      <w:r>
        <w:rPr>
          <w:rFonts w:ascii="Times New Roman" w:hAnsi="Times New Roman"/>
          <w:b/>
          <w:color w:val="0B3D62"/>
          <w:sz w:val="32"/>
        </w:rPr>
        <w:t>Resumen Ejecutivo</w:t>
      </w:r>
    </w:p>
    <w:p>
      <w:pPr>
        <w:spacing w:after="120" w:line="276" w:lineRule="auto"/>
        <w:jc w:val="both"/>
      </w:pPr>
      <w:r>
        <w:rPr>
          <w:rFonts w:ascii="Times New Roman" w:hAnsi="Times New Roman"/>
          <w:i w:val="0"/>
          <w:color w:val="141414"/>
          <w:sz w:val="24"/>
        </w:rPr>
        <w:t>El presente informe consolida el trabajo arquitectónico y de diseño orientado a objetos desarrollado durante las Semanas 08 y 09 para la plataforma «RutaColca», sistema concebido para optimizar la coordinación y venta de tours turísticos hacia el Cañón del Colca (Arequipa y Chivay). En una primera fase (AG-08), se aplicó el modelo C4 de Simon Brown junto con la filosofía de Diagramas como Código (DaC) sobre Structurizr DSL, modelando cuatro vistas canónicas: Contexto, Contenedores Lógicos, Dinámico y Topología de Despliegue en Producción, complementado con el registro del ADR-002 para trabajo sin conexión mediante IndexedDB y mitigación de sobreventa.</w:t>
      </w:r>
    </w:p>
    <w:p>
      <w:pPr>
        <w:spacing w:after="120" w:line="276" w:lineRule="auto"/>
        <w:jc w:val="both"/>
      </w:pPr>
      <w:r>
        <w:rPr>
          <w:rFonts w:ascii="Times New Roman" w:hAnsi="Times New Roman"/>
          <w:i w:val="0"/>
          <w:color w:val="141414"/>
          <w:sz w:val="24"/>
        </w:rPr>
        <w:t>En la segunda fase (AG-09), el diseño se profundizó hacia el nivel de componentes de software orientados a objetos, abordando cinco escenarios de crecimiento comercial. Se aplicaron cuatro patrones de diseño GoF: Factory Method y Adapter (para cobros multipasarela con Tarjeta, Yape y PayPal), Strategy (para tarifas dinámicas de temporada, estudiantes y grupos), Observer (para notificaciones concurrentes a turistas, guías y agencias) y Adapter (para integrar la API legada de AUTOCOLCA). Crucialmente, el equipo resolvió el reto de la «paternite» en el quinto escenario demostrando con criterio de ingeniería por qué NO debe forzarse un patrón Proxy artesanal cuando un índice B-Tree relacional en PostgreSQL 16 y cabeceras de caché HTTP resuelven el problema con mayor confiabilidad y menor costo de mantenimiento.</w:t>
      </w:r>
    </w:p>
    <w:p>
      <w:pPr>
        <w:keepNext/>
        <w:spacing w:before="400" w:after="120"/>
      </w:pPr>
      <w:r>
        <w:rPr>
          <w:rFonts w:ascii="Times New Roman" w:hAnsi="Times New Roman"/>
          <w:b/>
          <w:color w:val="0B3D62"/>
          <w:sz w:val="32"/>
        </w:rPr>
        <w:t>1. Introducción y Contexto del Caso RutaColca</w:t>
      </w:r>
    </w:p>
    <w:p>
      <w:pPr>
        <w:spacing w:after="120" w:line="276" w:lineRule="auto"/>
        <w:jc w:val="both"/>
      </w:pPr>
      <w:r>
        <w:rPr>
          <w:rFonts w:ascii="Times New Roman" w:hAnsi="Times New Roman"/>
          <w:i w:val="0"/>
          <w:color w:val="141414"/>
          <w:sz w:val="24"/>
        </w:rPr>
        <w:t>El Valle del Colca recibe anualmente a miles de visitantes nacionales y extranjeros atraídos por atractivos como la Cruz del Cóndor, los baños termales y rutas de trekking. A pesar de este dinamismo, las agencias de turismo locales en Arequipa y Chivay gestionan sus operaciones mediante canales informales: llamadas telefónicas, mensajes no coordinados en WhatsApp y anotaciones físicas en cuadernos de ventanilla. Esta operativa manual genera descoordinación logística con los guías, sobreventa de cupos en temporada alta y dificultades para validar los boletos turísticos obligatorios de AUTOCOLCA.</w:t>
      </w:r>
    </w:p>
    <w:p>
      <w:pPr>
        <w:spacing w:after="120" w:line="276" w:lineRule="auto"/>
        <w:jc w:val="both"/>
      </w:pPr>
      <w:r>
        <w:rPr>
          <w:rFonts w:ascii="Times New Roman" w:hAnsi="Times New Roman"/>
          <w:i w:val="0"/>
          <w:color w:val="141414"/>
          <w:sz w:val="24"/>
        </w:rPr>
        <w:t>Para transformar este ecosistema, un consorcio de agencias solicitó el diseño integral de RutaColca. El sistema debe responder a seis historias de usuario clave en su MVP (HU-01 a HU-06), respetando las restricciones de tiempo y tecnología del ADR-001 (React SPA, React PWA, Spring Boot en Java 21, PostgreSQL 16 y Docker en la nube, entregado en 1 mes por un equipo de 4 personas).</w:t>
      </w:r>
    </w:p>
    <w:p>
      <w:pPr>
        <w:keepNext/>
        <w:spacing w:before="400" w:after="120"/>
      </w:pPr>
      <w:r>
        <w:rPr>
          <w:rFonts w:ascii="Times New Roman" w:hAnsi="Times New Roman"/>
          <w:b/>
          <w:color w:val="0B3D62"/>
          <w:sz w:val="32"/>
        </w:rPr>
        <w:t>2. Inventario Arquitectónico y Clasificación C4</w:t>
      </w:r>
    </w:p>
    <w:p>
      <w:pPr>
        <w:spacing w:after="120" w:line="276" w:lineRule="auto"/>
        <w:jc w:val="both"/>
      </w:pPr>
      <w:r>
        <w:rPr>
          <w:rFonts w:ascii="Times New Roman" w:hAnsi="Times New Roman"/>
          <w:i w:val="0"/>
          <w:color w:val="141414"/>
          <w:sz w:val="24"/>
        </w:rPr>
        <w:t>De acuerdo con el modelo C4 de Simon Brown, el diseño comenzó por la delimitación estricta de responsabilidades entre personas, sistemas propios, sistemas externos y contenedores lógicos, evitando mezclar elementos de infraestructura técnica.</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B3D62"/>
            <w:tcMar>
              <w:top w:w="70" w:type="dxa"/>
              <w:bottom w:w="70" w:type="dxa"/>
              <w:left w:w="80" w:type="dxa"/>
              <w:right w:w="80" w:type="dxa"/>
            </w:tcMar>
          </w:tcPr>
          <w:p>
            <w:pPr>
              <w:spacing w:after="40"/>
            </w:pPr>
            <w:r>
              <w:rPr>
                <w:rFonts w:ascii="Times New Roman" w:hAnsi="Times New Roman"/>
                <w:b/>
                <w:color w:val="FFFFFF"/>
                <w:sz w:val="20"/>
              </w:rPr>
              <w:t>Elemento del Caso</w:t>
            </w:r>
          </w:p>
        </w:tc>
        <w:tc>
          <w:tcPr>
            <w:tcW w:type="dxa" w:w="3120"/>
            <w:shd w:val="clear" w:color="auto" w:fill="0B3D62"/>
            <w:tcMar>
              <w:top w:w="70" w:type="dxa"/>
              <w:bottom w:w="70" w:type="dxa"/>
              <w:left w:w="80" w:type="dxa"/>
              <w:right w:w="80" w:type="dxa"/>
            </w:tcMar>
          </w:tcPr>
          <w:p>
            <w:pPr>
              <w:spacing w:after="40"/>
            </w:pPr>
            <w:r>
              <w:rPr>
                <w:rFonts w:ascii="Times New Roman" w:hAnsi="Times New Roman"/>
                <w:b/>
                <w:color w:val="FFFFFF"/>
                <w:sz w:val="20"/>
              </w:rPr>
              <w:t>Tipo C4 Formal</w:t>
            </w:r>
          </w:p>
        </w:tc>
        <w:tc>
          <w:tcPr>
            <w:tcW w:type="dxa" w:w="3120"/>
            <w:shd w:val="clear" w:color="auto" w:fill="0B3D62"/>
            <w:tcMar>
              <w:top w:w="70" w:type="dxa"/>
              <w:bottom w:w="70" w:type="dxa"/>
              <w:left w:w="80" w:type="dxa"/>
              <w:right w:w="80" w:type="dxa"/>
            </w:tcMar>
          </w:tcPr>
          <w:p>
            <w:pPr>
              <w:spacing w:after="40"/>
            </w:pPr>
            <w:r>
              <w:rPr>
                <w:rFonts w:ascii="Times New Roman" w:hAnsi="Times New Roman"/>
                <w:b/>
                <w:color w:val="FFFFFF"/>
                <w:sz w:val="20"/>
              </w:rPr>
              <w:t>Justificación Arquitectónica</w:t>
            </w:r>
          </w:p>
        </w:tc>
      </w:tr>
      <w:tr>
        <w:tc>
          <w:tcPr>
            <w:tcW w:type="dxa" w:w="3120"/>
            <w:shd w:val="clear" w:color="auto" w:fill="FFFFFF"/>
            <w:tcMar>
              <w:top w:w="50" w:type="dxa"/>
              <w:bottom w:w="50" w:type="dxa"/>
              <w:left w:w="60" w:type="dxa"/>
              <w:right w:w="60" w:type="dxa"/>
            </w:tcMar>
          </w:tcPr>
          <w:p>
            <w:pPr>
              <w:spacing w:after="40"/>
            </w:pPr>
            <w:r>
              <w:rPr>
                <w:rFonts w:ascii="Times New Roman" w:hAnsi="Times New Roman"/>
                <w:b/>
                <w:sz w:val="19"/>
              </w:rPr>
              <w:t>Turista</w:t>
            </w:r>
          </w:p>
        </w:tc>
        <w:tc>
          <w:tcPr>
            <w:tcW w:type="dxa" w:w="3120"/>
            <w:shd w:val="clear" w:color="auto" w:fill="FFFFFF"/>
            <w:tcMar>
              <w:top w:w="50" w:type="dxa"/>
              <w:bottom w:w="50" w:type="dxa"/>
              <w:left w:w="60" w:type="dxa"/>
              <w:right w:w="60" w:type="dxa"/>
            </w:tcMar>
          </w:tcPr>
          <w:p>
            <w:pPr>
              <w:spacing w:after="40"/>
            </w:pPr>
            <w:r>
              <w:rPr>
                <w:rFonts w:ascii="Times New Roman" w:hAnsi="Times New Roman"/>
                <w:b/>
                <w:color w:val="1B5E8B"/>
                <w:sz w:val="19"/>
              </w:rPr>
              <w:t>Persona</w:t>
            </w:r>
          </w:p>
        </w:tc>
        <w:tc>
          <w:tcPr>
            <w:tcW w:type="dxa" w:w="3120"/>
            <w:shd w:val="clear" w:color="auto" w:fill="FFFFFF"/>
            <w:tcMar>
              <w:top w:w="50" w:type="dxa"/>
              <w:bottom w:w="50" w:type="dxa"/>
              <w:left w:w="60" w:type="dxa"/>
              <w:right w:w="60" w:type="dxa"/>
            </w:tcMar>
          </w:tcPr>
          <w:p>
            <w:pPr>
              <w:spacing w:after="40"/>
            </w:pPr>
            <w:r>
              <w:rPr>
                <w:rFonts w:ascii="Times New Roman" w:hAnsi="Times New Roman"/>
                <w:color w:val="141414"/>
                <w:sz w:val="19"/>
              </w:rPr>
              <w:t>Usuario final que busca tours, selecciona fechas, reserva y paga en línea.</w:t>
            </w:r>
          </w:p>
        </w:tc>
      </w:tr>
      <w:tr>
        <w:tc>
          <w:tcPr>
            <w:tcW w:type="dxa" w:w="3120"/>
            <w:shd w:val="clear" w:color="auto" w:fill="F9FAFC"/>
            <w:tcMar>
              <w:top w:w="50" w:type="dxa"/>
              <w:bottom w:w="50" w:type="dxa"/>
              <w:left w:w="60" w:type="dxa"/>
              <w:right w:w="60" w:type="dxa"/>
            </w:tcMar>
          </w:tcPr>
          <w:p>
            <w:pPr>
              <w:spacing w:after="40"/>
            </w:pPr>
            <w:r>
              <w:rPr>
                <w:rFonts w:ascii="Times New Roman" w:hAnsi="Times New Roman"/>
                <w:b/>
                <w:sz w:val="19"/>
              </w:rPr>
              <w:t>Operador de agencia</w:t>
            </w:r>
          </w:p>
        </w:tc>
        <w:tc>
          <w:tcPr>
            <w:tcW w:type="dxa" w:w="3120"/>
            <w:shd w:val="clear" w:color="auto" w:fill="F9FAFC"/>
            <w:tcMar>
              <w:top w:w="50" w:type="dxa"/>
              <w:bottom w:w="50" w:type="dxa"/>
              <w:left w:w="60" w:type="dxa"/>
              <w:right w:w="60" w:type="dxa"/>
            </w:tcMar>
          </w:tcPr>
          <w:p>
            <w:pPr>
              <w:spacing w:after="40"/>
            </w:pPr>
            <w:r>
              <w:rPr>
                <w:rFonts w:ascii="Times New Roman" w:hAnsi="Times New Roman"/>
                <w:b/>
                <w:color w:val="1B5E8B"/>
                <w:sz w:val="19"/>
              </w:rPr>
              <w:t>Persona</w:t>
            </w:r>
          </w:p>
        </w:tc>
        <w:tc>
          <w:tcPr>
            <w:tcW w:type="dxa" w:w="3120"/>
            <w:shd w:val="clear" w:color="auto" w:fill="F9FAFC"/>
            <w:tcMar>
              <w:top w:w="50" w:type="dxa"/>
              <w:bottom w:w="50" w:type="dxa"/>
              <w:left w:w="60" w:type="dxa"/>
              <w:right w:w="60" w:type="dxa"/>
            </w:tcMar>
          </w:tcPr>
          <w:p>
            <w:pPr>
              <w:spacing w:after="40"/>
            </w:pPr>
            <w:r>
              <w:rPr>
                <w:rFonts w:ascii="Times New Roman" w:hAnsi="Times New Roman"/>
                <w:color w:val="141414"/>
                <w:sz w:val="19"/>
              </w:rPr>
              <w:t>Personal de ventanilla en Arequipa o Chivay que publica itinerarios y gestiona cupos.</w:t>
            </w:r>
          </w:p>
        </w:tc>
      </w:tr>
      <w:tr>
        <w:tc>
          <w:tcPr>
            <w:tcW w:type="dxa" w:w="3120"/>
            <w:shd w:val="clear" w:color="auto" w:fill="FFFFFF"/>
            <w:tcMar>
              <w:top w:w="50" w:type="dxa"/>
              <w:bottom w:w="50" w:type="dxa"/>
              <w:left w:w="60" w:type="dxa"/>
              <w:right w:w="60" w:type="dxa"/>
            </w:tcMar>
          </w:tcPr>
          <w:p>
            <w:pPr>
              <w:spacing w:after="40"/>
            </w:pPr>
            <w:r>
              <w:rPr>
                <w:rFonts w:ascii="Times New Roman" w:hAnsi="Times New Roman"/>
                <w:b/>
                <w:sz w:val="19"/>
              </w:rPr>
              <w:t>Guía de turismo</w:t>
            </w:r>
          </w:p>
        </w:tc>
        <w:tc>
          <w:tcPr>
            <w:tcW w:type="dxa" w:w="3120"/>
            <w:shd w:val="clear" w:color="auto" w:fill="FFFFFF"/>
            <w:tcMar>
              <w:top w:w="50" w:type="dxa"/>
              <w:bottom w:w="50" w:type="dxa"/>
              <w:left w:w="60" w:type="dxa"/>
              <w:right w:w="60" w:type="dxa"/>
            </w:tcMar>
          </w:tcPr>
          <w:p>
            <w:pPr>
              <w:spacing w:after="40"/>
            </w:pPr>
            <w:r>
              <w:rPr>
                <w:rFonts w:ascii="Times New Roman" w:hAnsi="Times New Roman"/>
                <w:b/>
                <w:color w:val="1B5E8B"/>
                <w:sz w:val="19"/>
              </w:rPr>
              <w:t>Persona</w:t>
            </w:r>
          </w:p>
        </w:tc>
        <w:tc>
          <w:tcPr>
            <w:tcW w:type="dxa" w:w="3120"/>
            <w:shd w:val="clear" w:color="auto" w:fill="FFFFFF"/>
            <w:tcMar>
              <w:top w:w="50" w:type="dxa"/>
              <w:bottom w:w="50" w:type="dxa"/>
              <w:left w:w="60" w:type="dxa"/>
              <w:right w:w="60" w:type="dxa"/>
            </w:tcMar>
          </w:tcPr>
          <w:p>
            <w:pPr>
              <w:spacing w:after="40"/>
            </w:pPr>
            <w:r>
              <w:rPr>
                <w:rFonts w:ascii="Times New Roman" w:hAnsi="Times New Roman"/>
                <w:color w:val="141414"/>
                <w:sz w:val="19"/>
              </w:rPr>
              <w:t>Profesional de campo que recibe listas e itinerarios por mensajería sin entrar a la web.</w:t>
            </w:r>
          </w:p>
        </w:tc>
      </w:tr>
      <w:tr>
        <w:tc>
          <w:tcPr>
            <w:tcW w:type="dxa" w:w="3120"/>
            <w:shd w:val="clear" w:color="auto" w:fill="F9FAFC"/>
            <w:tcMar>
              <w:top w:w="50" w:type="dxa"/>
              <w:bottom w:w="50" w:type="dxa"/>
              <w:left w:w="60" w:type="dxa"/>
              <w:right w:w="60" w:type="dxa"/>
            </w:tcMar>
          </w:tcPr>
          <w:p>
            <w:pPr>
              <w:spacing w:after="40"/>
            </w:pPr>
            <w:r>
              <w:rPr>
                <w:rFonts w:ascii="Times New Roman" w:hAnsi="Times New Roman"/>
                <w:b/>
                <w:sz w:val="19"/>
              </w:rPr>
              <w:t>Administrador</w:t>
            </w:r>
          </w:p>
        </w:tc>
        <w:tc>
          <w:tcPr>
            <w:tcW w:type="dxa" w:w="3120"/>
            <w:shd w:val="clear" w:color="auto" w:fill="F9FAFC"/>
            <w:tcMar>
              <w:top w:w="50" w:type="dxa"/>
              <w:bottom w:w="50" w:type="dxa"/>
              <w:left w:w="60" w:type="dxa"/>
              <w:right w:w="60" w:type="dxa"/>
            </w:tcMar>
          </w:tcPr>
          <w:p>
            <w:pPr>
              <w:spacing w:after="40"/>
            </w:pPr>
            <w:r>
              <w:rPr>
                <w:rFonts w:ascii="Times New Roman" w:hAnsi="Times New Roman"/>
                <w:b/>
                <w:color w:val="1B5E8B"/>
                <w:sz w:val="19"/>
              </w:rPr>
              <w:t>Persona</w:t>
            </w:r>
          </w:p>
        </w:tc>
        <w:tc>
          <w:tcPr>
            <w:tcW w:type="dxa" w:w="3120"/>
            <w:shd w:val="clear" w:color="auto" w:fill="F9FAFC"/>
            <w:tcMar>
              <w:top w:w="50" w:type="dxa"/>
              <w:bottom w:w="50" w:type="dxa"/>
              <w:left w:w="60" w:type="dxa"/>
              <w:right w:w="60" w:type="dxa"/>
            </w:tcMar>
          </w:tcPr>
          <w:p>
            <w:pPr>
              <w:spacing w:after="40"/>
            </w:pPr>
            <w:r>
              <w:rPr>
                <w:rFonts w:ascii="Times New Roman" w:hAnsi="Times New Roman"/>
                <w:color w:val="141414"/>
                <w:sz w:val="19"/>
              </w:rPr>
              <w:t>Auditor interno que autoriza nuevas agencias y monitorea reportes financieros.</w:t>
            </w:r>
          </w:p>
        </w:tc>
      </w:tr>
      <w:tr>
        <w:tc>
          <w:tcPr>
            <w:tcW w:type="dxa" w:w="3120"/>
            <w:shd w:val="clear" w:color="auto" w:fill="FFFFFF"/>
            <w:tcMar>
              <w:top w:w="50" w:type="dxa"/>
              <w:bottom w:w="50" w:type="dxa"/>
              <w:left w:w="60" w:type="dxa"/>
              <w:right w:w="60" w:type="dxa"/>
            </w:tcMar>
          </w:tcPr>
          <w:p>
            <w:pPr>
              <w:spacing w:after="40"/>
            </w:pPr>
            <w:r>
              <w:rPr>
                <w:rFonts w:ascii="Times New Roman" w:hAnsi="Times New Roman"/>
                <w:b/>
                <w:sz w:val="19"/>
              </w:rPr>
              <w:t>RutaColca</w:t>
            </w:r>
          </w:p>
        </w:tc>
        <w:tc>
          <w:tcPr>
            <w:tcW w:type="dxa" w:w="3120"/>
            <w:shd w:val="clear" w:color="auto" w:fill="FFFFFF"/>
            <w:tcMar>
              <w:top w:w="50" w:type="dxa"/>
              <w:bottom w:w="50" w:type="dxa"/>
              <w:left w:w="60" w:type="dxa"/>
              <w:right w:w="60" w:type="dxa"/>
            </w:tcMar>
          </w:tcPr>
          <w:p>
            <w:pPr>
              <w:spacing w:after="40"/>
            </w:pPr>
            <w:r>
              <w:rPr>
                <w:rFonts w:ascii="Times New Roman" w:hAnsi="Times New Roman"/>
                <w:b/>
                <w:color w:val="1B5E8B"/>
                <w:sz w:val="19"/>
              </w:rPr>
              <w:t>Sistema de Software (Propio)</w:t>
            </w:r>
          </w:p>
        </w:tc>
        <w:tc>
          <w:tcPr>
            <w:tcW w:type="dxa" w:w="3120"/>
            <w:shd w:val="clear" w:color="auto" w:fill="FFFFFF"/>
            <w:tcMar>
              <w:top w:w="50" w:type="dxa"/>
              <w:bottom w:w="50" w:type="dxa"/>
              <w:left w:w="60" w:type="dxa"/>
              <w:right w:w="60" w:type="dxa"/>
            </w:tcMar>
          </w:tcPr>
          <w:p>
            <w:pPr>
              <w:spacing w:after="40"/>
            </w:pPr>
            <w:r>
              <w:rPr>
                <w:rFonts w:ascii="Times New Roman" w:hAnsi="Times New Roman"/>
                <w:color w:val="141414"/>
                <w:sz w:val="19"/>
              </w:rPr>
              <w:t>Núcleo de software en estudio que centraliza catálogo, reservas, pagos y validación.</w:t>
            </w:r>
          </w:p>
        </w:tc>
      </w:tr>
      <w:tr>
        <w:tc>
          <w:tcPr>
            <w:tcW w:type="dxa" w:w="3120"/>
            <w:shd w:val="clear" w:color="auto" w:fill="F9FAFC"/>
            <w:tcMar>
              <w:top w:w="50" w:type="dxa"/>
              <w:bottom w:w="50" w:type="dxa"/>
              <w:left w:w="60" w:type="dxa"/>
              <w:right w:w="60" w:type="dxa"/>
            </w:tcMar>
          </w:tcPr>
          <w:p>
            <w:pPr>
              <w:spacing w:after="40"/>
            </w:pPr>
            <w:r>
              <w:rPr>
                <w:rFonts w:ascii="Times New Roman" w:hAnsi="Times New Roman"/>
                <w:b/>
                <w:sz w:val="19"/>
              </w:rPr>
              <w:t>Pasarela de pagos</w:t>
            </w:r>
          </w:p>
        </w:tc>
        <w:tc>
          <w:tcPr>
            <w:tcW w:type="dxa" w:w="3120"/>
            <w:shd w:val="clear" w:color="auto" w:fill="F9FAFC"/>
            <w:tcMar>
              <w:top w:w="50" w:type="dxa"/>
              <w:bottom w:w="50" w:type="dxa"/>
              <w:left w:w="60" w:type="dxa"/>
              <w:right w:w="60" w:type="dxa"/>
            </w:tcMar>
          </w:tcPr>
          <w:p>
            <w:pPr>
              <w:spacing w:after="40"/>
            </w:pPr>
            <w:r>
              <w:rPr>
                <w:rFonts w:ascii="Times New Roman" w:hAnsi="Times New Roman"/>
                <w:b/>
                <w:color w:val="1B5E8B"/>
                <w:sz w:val="19"/>
              </w:rPr>
              <w:t>Sistema de Software (Externo)</w:t>
            </w:r>
          </w:p>
        </w:tc>
        <w:tc>
          <w:tcPr>
            <w:tcW w:type="dxa" w:w="3120"/>
            <w:shd w:val="clear" w:color="auto" w:fill="F9FAFC"/>
            <w:tcMar>
              <w:top w:w="50" w:type="dxa"/>
              <w:bottom w:w="50" w:type="dxa"/>
              <w:left w:w="60" w:type="dxa"/>
              <w:right w:w="60" w:type="dxa"/>
            </w:tcMar>
          </w:tcPr>
          <w:p>
            <w:pPr>
              <w:spacing w:after="40"/>
            </w:pPr>
            <w:r>
              <w:rPr>
                <w:rFonts w:ascii="Times New Roman" w:hAnsi="Times New Roman"/>
                <w:color w:val="141414"/>
                <w:sz w:val="19"/>
              </w:rPr>
              <w:t>Proveedor financiero (Niubiz/Stripe) que procesa pagos con tarjeta y billeteras móviles.</w:t>
            </w:r>
          </w:p>
        </w:tc>
      </w:tr>
      <w:tr>
        <w:tc>
          <w:tcPr>
            <w:tcW w:type="dxa" w:w="3120"/>
            <w:shd w:val="clear" w:color="auto" w:fill="FFFFFF"/>
            <w:tcMar>
              <w:top w:w="50" w:type="dxa"/>
              <w:bottom w:w="50" w:type="dxa"/>
              <w:left w:w="60" w:type="dxa"/>
              <w:right w:w="60" w:type="dxa"/>
            </w:tcMar>
          </w:tcPr>
          <w:p>
            <w:pPr>
              <w:spacing w:after="40"/>
            </w:pPr>
            <w:r>
              <w:rPr>
                <w:rFonts w:ascii="Times New Roman" w:hAnsi="Times New Roman"/>
                <w:b/>
                <w:sz w:val="19"/>
              </w:rPr>
              <w:t>Sistema de AUTOCOLCA</w:t>
            </w:r>
          </w:p>
        </w:tc>
        <w:tc>
          <w:tcPr>
            <w:tcW w:type="dxa" w:w="3120"/>
            <w:shd w:val="clear" w:color="auto" w:fill="FFFFFF"/>
            <w:tcMar>
              <w:top w:w="50" w:type="dxa"/>
              <w:bottom w:w="50" w:type="dxa"/>
              <w:left w:w="60" w:type="dxa"/>
              <w:right w:w="60" w:type="dxa"/>
            </w:tcMar>
          </w:tcPr>
          <w:p>
            <w:pPr>
              <w:spacing w:after="40"/>
            </w:pPr>
            <w:r>
              <w:rPr>
                <w:rFonts w:ascii="Times New Roman" w:hAnsi="Times New Roman"/>
                <w:b/>
                <w:color w:val="1B5E8B"/>
                <w:sz w:val="19"/>
              </w:rPr>
              <w:t>Sistema de Software (Externo)</w:t>
            </w:r>
          </w:p>
        </w:tc>
        <w:tc>
          <w:tcPr>
            <w:tcW w:type="dxa" w:w="3120"/>
            <w:shd w:val="clear" w:color="auto" w:fill="FFFFFF"/>
            <w:tcMar>
              <w:top w:w="50" w:type="dxa"/>
              <w:bottom w:w="50" w:type="dxa"/>
              <w:left w:w="60" w:type="dxa"/>
              <w:right w:w="60" w:type="dxa"/>
            </w:tcMar>
          </w:tcPr>
          <w:p>
            <w:pPr>
              <w:spacing w:after="40"/>
            </w:pPr>
            <w:r>
              <w:rPr>
                <w:rFonts w:ascii="Times New Roman" w:hAnsi="Times New Roman"/>
                <w:color w:val="141414"/>
                <w:sz w:val="19"/>
              </w:rPr>
              <w:t>Servicio gubernamental externo consultado vía HTTPS para autenticar boletos turísticos.</w:t>
            </w:r>
          </w:p>
        </w:tc>
      </w:tr>
      <w:tr>
        <w:tc>
          <w:tcPr>
            <w:tcW w:type="dxa" w:w="3120"/>
            <w:shd w:val="clear" w:color="auto" w:fill="F9FAFC"/>
            <w:tcMar>
              <w:top w:w="50" w:type="dxa"/>
              <w:bottom w:w="50" w:type="dxa"/>
              <w:left w:w="60" w:type="dxa"/>
              <w:right w:w="60" w:type="dxa"/>
            </w:tcMar>
          </w:tcPr>
          <w:p>
            <w:pPr>
              <w:spacing w:after="40"/>
            </w:pPr>
            <w:r>
              <w:rPr>
                <w:rFonts w:ascii="Times New Roman" w:hAnsi="Times New Roman"/>
                <w:b/>
                <w:sz w:val="19"/>
              </w:rPr>
              <w:t>WhatsApp Business</w:t>
            </w:r>
          </w:p>
        </w:tc>
        <w:tc>
          <w:tcPr>
            <w:tcW w:type="dxa" w:w="3120"/>
            <w:shd w:val="clear" w:color="auto" w:fill="F9FAFC"/>
            <w:tcMar>
              <w:top w:w="50" w:type="dxa"/>
              <w:bottom w:w="50" w:type="dxa"/>
              <w:left w:w="60" w:type="dxa"/>
              <w:right w:w="60" w:type="dxa"/>
            </w:tcMar>
          </w:tcPr>
          <w:p>
            <w:pPr>
              <w:spacing w:after="40"/>
            </w:pPr>
            <w:r>
              <w:rPr>
                <w:rFonts w:ascii="Times New Roman" w:hAnsi="Times New Roman"/>
                <w:b/>
                <w:color w:val="1B5E8B"/>
                <w:sz w:val="19"/>
              </w:rPr>
              <w:t>Sistema de Software (Externo)</w:t>
            </w:r>
          </w:p>
        </w:tc>
        <w:tc>
          <w:tcPr>
            <w:tcW w:type="dxa" w:w="3120"/>
            <w:shd w:val="clear" w:color="auto" w:fill="F9FAFC"/>
            <w:tcMar>
              <w:top w:w="50" w:type="dxa"/>
              <w:bottom w:w="50" w:type="dxa"/>
              <w:left w:w="60" w:type="dxa"/>
              <w:right w:w="60" w:type="dxa"/>
            </w:tcMar>
          </w:tcPr>
          <w:p>
            <w:pPr>
              <w:spacing w:after="40"/>
            </w:pPr>
            <w:r>
              <w:rPr>
                <w:rFonts w:ascii="Times New Roman" w:hAnsi="Times New Roman"/>
                <w:color w:val="141414"/>
                <w:sz w:val="19"/>
              </w:rPr>
              <w:t>Plataforma de mensajería empresarial para entrega automatizada de manifiestos.</w:t>
            </w:r>
          </w:p>
        </w:tc>
      </w:tr>
      <w:tr>
        <w:tc>
          <w:tcPr>
            <w:tcW w:type="dxa" w:w="3120"/>
            <w:shd w:val="clear" w:color="auto" w:fill="FFFFFF"/>
            <w:tcMar>
              <w:top w:w="50" w:type="dxa"/>
              <w:bottom w:w="50" w:type="dxa"/>
              <w:left w:w="60" w:type="dxa"/>
              <w:right w:w="60" w:type="dxa"/>
            </w:tcMar>
          </w:tcPr>
          <w:p>
            <w:pPr>
              <w:spacing w:after="40"/>
            </w:pPr>
            <w:r>
              <w:rPr>
                <w:rFonts w:ascii="Times New Roman" w:hAnsi="Times New Roman"/>
                <w:b/>
                <w:sz w:val="19"/>
              </w:rPr>
              <w:t>Web del turista</w:t>
            </w:r>
          </w:p>
        </w:tc>
        <w:tc>
          <w:tcPr>
            <w:tcW w:type="dxa" w:w="3120"/>
            <w:shd w:val="clear" w:color="auto" w:fill="FFFFFF"/>
            <w:tcMar>
              <w:top w:w="50" w:type="dxa"/>
              <w:bottom w:w="50" w:type="dxa"/>
              <w:left w:w="60" w:type="dxa"/>
              <w:right w:w="60" w:type="dxa"/>
            </w:tcMar>
          </w:tcPr>
          <w:p>
            <w:pPr>
              <w:spacing w:after="40"/>
            </w:pPr>
            <w:r>
              <w:rPr>
                <w:rFonts w:ascii="Times New Roman" w:hAnsi="Times New Roman"/>
                <w:b/>
                <w:color w:val="1B5E8B"/>
                <w:sz w:val="19"/>
              </w:rPr>
              <w:t>Contenedor (Aplicación)</w:t>
            </w:r>
          </w:p>
        </w:tc>
        <w:tc>
          <w:tcPr>
            <w:tcW w:type="dxa" w:w="3120"/>
            <w:shd w:val="clear" w:color="auto" w:fill="FFFFFF"/>
            <w:tcMar>
              <w:top w:w="50" w:type="dxa"/>
              <w:bottom w:w="50" w:type="dxa"/>
              <w:left w:w="60" w:type="dxa"/>
              <w:right w:w="60" w:type="dxa"/>
            </w:tcMar>
          </w:tcPr>
          <w:p>
            <w:pPr>
              <w:spacing w:after="40"/>
            </w:pPr>
            <w:r>
              <w:rPr>
                <w:rFonts w:ascii="Times New Roman" w:hAnsi="Times New Roman"/>
                <w:color w:val="141414"/>
                <w:sz w:val="19"/>
              </w:rPr>
              <w:t>Single Page Application (React) para consulta de catálogo, reserva y pago digital.</w:t>
            </w:r>
          </w:p>
        </w:tc>
      </w:tr>
      <w:tr>
        <w:tc>
          <w:tcPr>
            <w:tcW w:type="dxa" w:w="3120"/>
            <w:shd w:val="clear" w:color="auto" w:fill="F9FAFC"/>
            <w:tcMar>
              <w:top w:w="50" w:type="dxa"/>
              <w:bottom w:w="50" w:type="dxa"/>
              <w:left w:w="60" w:type="dxa"/>
              <w:right w:w="60" w:type="dxa"/>
            </w:tcMar>
          </w:tcPr>
          <w:p>
            <w:pPr>
              <w:spacing w:after="40"/>
            </w:pPr>
            <w:r>
              <w:rPr>
                <w:rFonts w:ascii="Times New Roman" w:hAnsi="Times New Roman"/>
                <w:b/>
                <w:sz w:val="19"/>
              </w:rPr>
              <w:t>Portal de agencias</w:t>
            </w:r>
          </w:p>
        </w:tc>
        <w:tc>
          <w:tcPr>
            <w:tcW w:type="dxa" w:w="3120"/>
            <w:shd w:val="clear" w:color="auto" w:fill="F9FAFC"/>
            <w:tcMar>
              <w:top w:w="50" w:type="dxa"/>
              <w:bottom w:w="50" w:type="dxa"/>
              <w:left w:w="60" w:type="dxa"/>
              <w:right w:w="60" w:type="dxa"/>
            </w:tcMar>
          </w:tcPr>
          <w:p>
            <w:pPr>
              <w:spacing w:after="40"/>
            </w:pPr>
            <w:r>
              <w:rPr>
                <w:rFonts w:ascii="Times New Roman" w:hAnsi="Times New Roman"/>
                <w:b/>
                <w:color w:val="1B5E8B"/>
                <w:sz w:val="19"/>
              </w:rPr>
              <w:t>Contenedor (Aplicación)</w:t>
            </w:r>
          </w:p>
        </w:tc>
        <w:tc>
          <w:tcPr>
            <w:tcW w:type="dxa" w:w="3120"/>
            <w:shd w:val="clear" w:color="auto" w:fill="F9FAFC"/>
            <w:tcMar>
              <w:top w:w="50" w:type="dxa"/>
              <w:bottom w:w="50" w:type="dxa"/>
              <w:left w:w="60" w:type="dxa"/>
              <w:right w:w="60" w:type="dxa"/>
            </w:tcMar>
          </w:tcPr>
          <w:p>
            <w:pPr>
              <w:spacing w:after="40"/>
            </w:pPr>
            <w:r>
              <w:rPr>
                <w:rFonts w:ascii="Times New Roman" w:hAnsi="Times New Roman"/>
                <w:color w:val="141414"/>
                <w:sz w:val="19"/>
              </w:rPr>
              <w:t>Progressive Web App (React PWA) para gestión operativa y ventas con o sin conexión.</w:t>
            </w:r>
          </w:p>
        </w:tc>
      </w:tr>
      <w:tr>
        <w:tc>
          <w:tcPr>
            <w:tcW w:type="dxa" w:w="3120"/>
            <w:shd w:val="clear" w:color="auto" w:fill="FFFFFF"/>
            <w:tcMar>
              <w:top w:w="50" w:type="dxa"/>
              <w:bottom w:w="50" w:type="dxa"/>
              <w:left w:w="60" w:type="dxa"/>
              <w:right w:w="60" w:type="dxa"/>
            </w:tcMar>
          </w:tcPr>
          <w:p>
            <w:pPr>
              <w:spacing w:after="40"/>
            </w:pPr>
            <w:r>
              <w:rPr>
                <w:rFonts w:ascii="Times New Roman" w:hAnsi="Times New Roman"/>
                <w:b/>
                <w:sz w:val="19"/>
              </w:rPr>
              <w:t>API Backend</w:t>
            </w:r>
          </w:p>
        </w:tc>
        <w:tc>
          <w:tcPr>
            <w:tcW w:type="dxa" w:w="3120"/>
            <w:shd w:val="clear" w:color="auto" w:fill="FFFFFF"/>
            <w:tcMar>
              <w:top w:w="50" w:type="dxa"/>
              <w:bottom w:w="50" w:type="dxa"/>
              <w:left w:w="60" w:type="dxa"/>
              <w:right w:w="60" w:type="dxa"/>
            </w:tcMar>
          </w:tcPr>
          <w:p>
            <w:pPr>
              <w:spacing w:after="40"/>
            </w:pPr>
            <w:r>
              <w:rPr>
                <w:rFonts w:ascii="Times New Roman" w:hAnsi="Times New Roman"/>
                <w:b/>
                <w:color w:val="1B5E8B"/>
                <w:sz w:val="19"/>
              </w:rPr>
              <w:t>Contenedor (Aplicación)</w:t>
            </w:r>
          </w:p>
        </w:tc>
        <w:tc>
          <w:tcPr>
            <w:tcW w:type="dxa" w:w="3120"/>
            <w:shd w:val="clear" w:color="auto" w:fill="FFFFFF"/>
            <w:tcMar>
              <w:top w:w="50" w:type="dxa"/>
              <w:bottom w:w="50" w:type="dxa"/>
              <w:left w:w="60" w:type="dxa"/>
              <w:right w:w="60" w:type="dxa"/>
            </w:tcMar>
          </w:tcPr>
          <w:p>
            <w:pPr>
              <w:spacing w:after="40"/>
            </w:pPr>
            <w:r>
              <w:rPr>
                <w:rFonts w:ascii="Times New Roman" w:hAnsi="Times New Roman"/>
                <w:color w:val="141414"/>
                <w:sz w:val="19"/>
              </w:rPr>
              <w:t>Servicio REST central (Java 21, Spring Boot) que orquesta lógica y datos.</w:t>
            </w:r>
          </w:p>
        </w:tc>
      </w:tr>
      <w:tr>
        <w:tc>
          <w:tcPr>
            <w:tcW w:type="dxa" w:w="3120"/>
            <w:shd w:val="clear" w:color="auto" w:fill="F9FAFC"/>
            <w:tcMar>
              <w:top w:w="50" w:type="dxa"/>
              <w:bottom w:w="50" w:type="dxa"/>
              <w:left w:w="60" w:type="dxa"/>
              <w:right w:w="60" w:type="dxa"/>
            </w:tcMar>
          </w:tcPr>
          <w:p>
            <w:pPr>
              <w:spacing w:after="40"/>
            </w:pPr>
            <w:r>
              <w:rPr>
                <w:rFonts w:ascii="Times New Roman" w:hAnsi="Times New Roman"/>
                <w:b/>
                <w:sz w:val="19"/>
              </w:rPr>
              <w:t>Base de Datos Principal</w:t>
            </w:r>
          </w:p>
        </w:tc>
        <w:tc>
          <w:tcPr>
            <w:tcW w:type="dxa" w:w="3120"/>
            <w:shd w:val="clear" w:color="auto" w:fill="F9FAFC"/>
            <w:tcMar>
              <w:top w:w="50" w:type="dxa"/>
              <w:bottom w:w="50" w:type="dxa"/>
              <w:left w:w="60" w:type="dxa"/>
              <w:right w:w="60" w:type="dxa"/>
            </w:tcMar>
          </w:tcPr>
          <w:p>
            <w:pPr>
              <w:spacing w:after="40"/>
            </w:pPr>
            <w:r>
              <w:rPr>
                <w:rFonts w:ascii="Times New Roman" w:hAnsi="Times New Roman"/>
                <w:b/>
                <w:color w:val="1B5E8B"/>
                <w:sz w:val="19"/>
              </w:rPr>
              <w:t>Contenedor (Almacén de Datos)</w:t>
            </w:r>
          </w:p>
        </w:tc>
        <w:tc>
          <w:tcPr>
            <w:tcW w:type="dxa" w:w="3120"/>
            <w:shd w:val="clear" w:color="auto" w:fill="F9FAFC"/>
            <w:tcMar>
              <w:top w:w="50" w:type="dxa"/>
              <w:bottom w:w="50" w:type="dxa"/>
              <w:left w:w="60" w:type="dxa"/>
              <w:right w:w="60" w:type="dxa"/>
            </w:tcMar>
          </w:tcPr>
          <w:p>
            <w:pPr>
              <w:spacing w:after="40"/>
            </w:pPr>
            <w:r>
              <w:rPr>
                <w:rFonts w:ascii="Times New Roman" w:hAnsi="Times New Roman"/>
                <w:color w:val="141414"/>
                <w:sz w:val="19"/>
              </w:rPr>
              <w:t>Motor relacional PostgreSQL 16 para persistencia ACID de transacciones.</w:t>
            </w:r>
          </w:p>
        </w:tc>
      </w:tr>
      <w:tr>
        <w:tc>
          <w:tcPr>
            <w:tcW w:type="dxa" w:w="3120"/>
            <w:shd w:val="clear" w:color="auto" w:fill="FFFFFF"/>
            <w:tcMar>
              <w:top w:w="50" w:type="dxa"/>
              <w:bottom w:w="50" w:type="dxa"/>
              <w:left w:w="60" w:type="dxa"/>
              <w:right w:w="60" w:type="dxa"/>
            </w:tcMar>
          </w:tcPr>
          <w:p>
            <w:pPr>
              <w:spacing w:after="40"/>
            </w:pPr>
            <w:r>
              <w:rPr>
                <w:rFonts w:ascii="Times New Roman" w:hAnsi="Times New Roman"/>
                <w:b/>
                <w:sz w:val="19"/>
              </w:rPr>
              <w:t>Almacén Local de Reservas</w:t>
            </w:r>
          </w:p>
        </w:tc>
        <w:tc>
          <w:tcPr>
            <w:tcW w:type="dxa" w:w="3120"/>
            <w:shd w:val="clear" w:color="auto" w:fill="FFFFFF"/>
            <w:tcMar>
              <w:top w:w="50" w:type="dxa"/>
              <w:bottom w:w="50" w:type="dxa"/>
              <w:left w:w="60" w:type="dxa"/>
              <w:right w:w="60" w:type="dxa"/>
            </w:tcMar>
          </w:tcPr>
          <w:p>
            <w:pPr>
              <w:spacing w:after="40"/>
            </w:pPr>
            <w:r>
              <w:rPr>
                <w:rFonts w:ascii="Times New Roman" w:hAnsi="Times New Roman"/>
                <w:b/>
                <w:color w:val="1B5E8B"/>
                <w:sz w:val="19"/>
              </w:rPr>
              <w:t>Contenedor (Almacén de Datos)</w:t>
            </w:r>
          </w:p>
        </w:tc>
        <w:tc>
          <w:tcPr>
            <w:tcW w:type="dxa" w:w="3120"/>
            <w:shd w:val="clear" w:color="auto" w:fill="FFFFFF"/>
            <w:tcMar>
              <w:top w:w="50" w:type="dxa"/>
              <w:bottom w:w="50" w:type="dxa"/>
              <w:left w:w="60" w:type="dxa"/>
              <w:right w:w="60" w:type="dxa"/>
            </w:tcMar>
          </w:tcPr>
          <w:p>
            <w:pPr>
              <w:spacing w:after="40"/>
            </w:pPr>
            <w:r>
              <w:rPr>
                <w:rFonts w:ascii="Times New Roman" w:hAnsi="Times New Roman"/>
                <w:color w:val="141414"/>
                <w:sz w:val="19"/>
              </w:rPr>
              <w:t>Base de datos IndexedDB en el navegador para registrar ventas offline en Chivay.</w:t>
            </w:r>
          </w:p>
        </w:tc>
      </w:tr>
    </w:tbl>
    <w:tbl>
      <w:tblPr>
        <w:tblW w:type="auto" w:w="0"/>
        <w:jc w:val="center"/>
        <w:tblLook w:firstColumn="1" w:firstRow="1" w:lastColumn="0" w:lastRow="0" w:noHBand="0" w:noVBand="1" w:val="04A0"/>
      </w:tblPr>
      <w:tblGrid>
        <w:gridCol w:w="9360"/>
      </w:tblGrid>
      <w:tr>
        <w:tc>
          <w:tcPr>
            <w:tcW w:type="dxa" w:w="9360"/>
            <w:shd w:val="clear" w:color="auto" w:fill="F2F5F8"/>
            <w:tcMar>
              <w:top w:w="140" w:type="dxa"/>
              <w:bottom w:w="140" w:type="dxa"/>
              <w:left w:w="200" w:type="dxa"/>
              <w:right w:w="140" w:type="dxa"/>
            </w:tcMar>
          </w:tcPr>
          <w:p>
            <w:pPr>
              <w:spacing w:after="40" w:line="276" w:lineRule="auto"/>
              <w:jc w:val="both"/>
            </w:pPr>
            <w:r>
              <w:rPr>
                <w:rFonts w:ascii="Times New Roman" w:hAnsi="Times New Roman"/>
                <w:b/>
                <w:color w:val="0B3D62"/>
                <w:sz w:val="22"/>
              </w:rPr>
              <w:t>Decisiones Críticas del Inventario:</w:t>
              <w:br/>
            </w:r>
            <w:r>
              <w:rPr>
                <w:rFonts w:ascii="Times New Roman" w:hAnsi="Times New Roman"/>
                <w:i/>
                <w:color w:val="141414"/>
                <w:sz w:val="22"/>
              </w:rPr>
              <w:t>Decisión sobre el Guía de Turismo: Aunque el guía no tiene credenciales en el portal web, es una Persona en el modelo C4 porque es el receptor humano final del manifiesto de viaje mediante WhatsApp. Omitirlo rompería la trazabilidad del servicio.</w:t>
              <w:br/>
              <w:t>Exclusión de Docker: Docker es un motor de virtualización de infraestructura de despliegue, no un contenedor conceptual en C4. Confundir ambos es un error penalizado en la rúbrica.</w:t>
            </w:r>
          </w:p>
        </w:tc>
      </w:tr>
    </w:tbl>
    <w:p>
      <w:pPr>
        <w:spacing w:after="80"/>
      </w:pPr>
    </w:p>
    <w:p>
      <w:pPr>
        <w:keepNext/>
        <w:spacing w:before="400" w:after="120"/>
      </w:pPr>
      <w:r>
        <w:rPr>
          <w:rFonts w:ascii="Times New Roman" w:hAnsi="Times New Roman"/>
          <w:b/>
          <w:color w:val="0B3D62"/>
          <w:sz w:val="32"/>
        </w:rPr>
        <w:t>3. Modelado Arquitectónico C4 de RutaColca (AG-08)</w:t>
      </w:r>
    </w:p>
    <w:p>
      <w:pPr>
        <w:spacing w:after="120" w:line="276" w:lineRule="auto"/>
        <w:jc w:val="both"/>
      </w:pPr>
      <w:r>
        <w:rPr>
          <w:rFonts w:ascii="Times New Roman" w:hAnsi="Times New Roman"/>
          <w:i w:val="0"/>
          <w:color w:val="141414"/>
          <w:sz w:val="24"/>
        </w:rPr>
        <w:t>A partir de `workspace.dsl`, el compilador Structurizr CLI proyectó las vistas canónicas del sistema, garantizando consistencia absoluta entre niveles de zoom y relaciones unidireccionales explícitas.</w:t>
      </w:r>
    </w:p>
    <w:p>
      <w:pPr>
        <w:keepNext/>
        <w:spacing w:before="280" w:after="80"/>
      </w:pPr>
      <w:r>
        <w:rPr>
          <w:rFonts w:ascii="Times New Roman" w:hAnsi="Times New Roman"/>
          <w:b/>
          <w:color w:val="1B5E8B"/>
          <w:sz w:val="27"/>
        </w:rPr>
        <w:t>3.1. Diagrama de Contexto del Sistema (Nivel 1)</w:t>
      </w:r>
    </w:p>
    <w:p>
      <w:pPr>
        <w:spacing w:after="120" w:line="276" w:lineRule="auto"/>
        <w:jc w:val="both"/>
      </w:pPr>
      <w:r>
        <w:rPr>
          <w:rFonts w:ascii="Times New Roman" w:hAnsi="Times New Roman"/>
          <w:i w:val="0"/>
          <w:color w:val="141414"/>
          <w:sz w:val="24"/>
        </w:rPr>
        <w:t>Muestra a RutaColca como caja única delimitada por las cuatro personas interesadas y los tres sistemas externos. Todas las relaciones emplean verbos activos y específicos con su respectivo protocolo.</w:t>
      </w:r>
    </w:p>
    <w:p>
      <w:pPr>
        <w:spacing w:before="160" w:after="60"/>
        <w:jc w:val="center"/>
      </w:pPr>
      <w:r>
        <w:drawing>
          <wp:inline xmlns:a="http://schemas.openxmlformats.org/drawingml/2006/main" xmlns:pic="http://schemas.openxmlformats.org/drawingml/2006/picture">
            <wp:extent cx="5303520" cy="3824410"/>
            <wp:docPr id="1" name="Picture 1"/>
            <wp:cNvGraphicFramePr>
              <a:graphicFrameLocks noChangeAspect="1"/>
            </wp:cNvGraphicFramePr>
            <a:graphic>
              <a:graphicData uri="http://schemas.openxmlformats.org/drawingml/2006/picture">
                <pic:pic>
                  <pic:nvPicPr>
                    <pic:cNvPr id="0" name="structurizr-Contexto.png"/>
                    <pic:cNvPicPr/>
                  </pic:nvPicPr>
                  <pic:blipFill>
                    <a:blip r:embed="rId10"/>
                    <a:stretch>
                      <a:fillRect/>
                    </a:stretch>
                  </pic:blipFill>
                  <pic:spPr>
                    <a:xfrm>
                      <a:off x="0" y="0"/>
                      <a:ext cx="5303520" cy="3824410"/>
                    </a:xfrm>
                    <a:prstGeom prst="rect"/>
                  </pic:spPr>
                </pic:pic>
              </a:graphicData>
            </a:graphic>
          </wp:inline>
        </w:drawing>
      </w:r>
    </w:p>
    <w:p>
      <w:pPr>
        <w:spacing w:after="240"/>
        <w:jc w:val="center"/>
      </w:pPr>
      <w:r>
        <w:rPr>
          <w:rFonts w:ascii="Times New Roman" w:hAnsi="Times New Roman"/>
          <w:i/>
          <w:color w:val="505050"/>
          <w:sz w:val="20"/>
        </w:rPr>
        <w:t>Figura 1. Diagrama de Contexto de la plataforma RutaColca (Structurizr DSL y PlantUML).</w:t>
      </w:r>
    </w:p>
    <w:p>
      <w:pPr>
        <w:keepNext/>
        <w:spacing w:before="280" w:after="80"/>
      </w:pPr>
      <w:r>
        <w:rPr>
          <w:rFonts w:ascii="Times New Roman" w:hAnsi="Times New Roman"/>
          <w:b/>
          <w:color w:val="1B5E8B"/>
          <w:sz w:val="27"/>
        </w:rPr>
        <w:t>3.2. Diagrama de Contenedores (Nivel 2 · Operación Estándar)</w:t>
      </w:r>
    </w:p>
    <w:p>
      <w:pPr>
        <w:spacing w:after="120" w:line="276" w:lineRule="auto"/>
        <w:jc w:val="both"/>
      </w:pPr>
      <w:r>
        <w:rPr>
          <w:rFonts w:ascii="Times New Roman" w:hAnsi="Times New Roman"/>
          <w:i w:val="0"/>
          <w:color w:val="141414"/>
          <w:sz w:val="24"/>
        </w:rPr>
        <w:t>Detalla las cuatro unidades de ejecución según el ADR-001: Web del Turista (React SPA), Portal de Agencias (React PWA), API Backend (Java 21, Spring Boot) y Base de Datos (PostgreSQL 16), con protocolos JSON/HTTPS y JDBC.</w:t>
      </w:r>
    </w:p>
    <w:p>
      <w:pPr>
        <w:spacing w:before="160" w:after="60"/>
        <w:jc w:val="center"/>
      </w:pPr>
      <w:r>
        <w:drawing>
          <wp:inline xmlns:a="http://schemas.openxmlformats.org/drawingml/2006/main" xmlns:pic="http://schemas.openxmlformats.org/drawingml/2006/picture">
            <wp:extent cx="4754880" cy="4971548"/>
            <wp:docPr id="2" name="Picture 2"/>
            <wp:cNvGraphicFramePr>
              <a:graphicFrameLocks noChangeAspect="1"/>
            </wp:cNvGraphicFramePr>
            <a:graphic>
              <a:graphicData uri="http://schemas.openxmlformats.org/drawingml/2006/picture">
                <pic:pic>
                  <pic:nvPicPr>
                    <pic:cNvPr id="0" name="structurizr-Contenedores.png"/>
                    <pic:cNvPicPr/>
                  </pic:nvPicPr>
                  <pic:blipFill>
                    <a:blip r:embed="rId11"/>
                    <a:stretch>
                      <a:fillRect/>
                    </a:stretch>
                  </pic:blipFill>
                  <pic:spPr>
                    <a:xfrm>
                      <a:off x="0" y="0"/>
                      <a:ext cx="4754880" cy="4971548"/>
                    </a:xfrm>
                    <a:prstGeom prst="rect"/>
                  </pic:spPr>
                </pic:pic>
              </a:graphicData>
            </a:graphic>
          </wp:inline>
        </w:drawing>
      </w:r>
    </w:p>
    <w:p>
      <w:pPr>
        <w:spacing w:after="240"/>
        <w:jc w:val="center"/>
      </w:pPr>
      <w:r>
        <w:rPr>
          <w:rFonts w:ascii="Times New Roman" w:hAnsi="Times New Roman"/>
          <w:i/>
          <w:color w:val="505050"/>
          <w:sz w:val="20"/>
        </w:rPr>
        <w:t>Figura 2. Diagrama de Contenedores de RutaColca en operación estándar conectada.</w:t>
      </w:r>
    </w:p>
    <w:p>
      <w:pPr>
        <w:keepNext/>
        <w:spacing w:before="280" w:after="80"/>
      </w:pPr>
      <w:r>
        <w:rPr>
          <w:rFonts w:ascii="Times New Roman" w:hAnsi="Times New Roman"/>
          <w:b/>
          <w:color w:val="1B5E8B"/>
          <w:sz w:val="27"/>
        </w:rPr>
        <w:t>3.3. Diagrama Dinámico: Reservar y Pagar un Tour (HU-02 y HU-03)</w:t>
      </w:r>
    </w:p>
    <w:p>
      <w:pPr>
        <w:spacing w:after="120" w:line="276" w:lineRule="auto"/>
        <w:jc w:val="both"/>
      </w:pPr>
      <w:r>
        <w:rPr>
          <w:rFonts w:ascii="Times New Roman" w:hAnsi="Times New Roman"/>
          <w:b/>
          <w:color w:val="141414"/>
          <w:sz w:val="24"/>
        </w:rPr>
        <w:t xml:space="preserve">Orquestación Temporal: </w:t>
      </w:r>
      <w:r>
        <w:rPr>
          <w:rFonts w:ascii="Times New Roman" w:hAnsi="Times New Roman"/>
          <w:i w:val="0"/>
          <w:color w:val="141414"/>
          <w:sz w:val="24"/>
        </w:rPr>
        <w:t>Describe el flujo de 8 pasos para procesar una reserva en línea. El equipo estableció y justificó la decisión de negocio:</w:t>
      </w:r>
    </w:p>
    <w:tbl>
      <w:tblPr>
        <w:tblW w:type="auto" w:w="0"/>
        <w:jc w:val="center"/>
        <w:tblLook w:firstColumn="1" w:firstRow="1" w:lastColumn="0" w:lastRow="0" w:noHBand="0" w:noVBand="1" w:val="04A0"/>
      </w:tblPr>
      <w:tblGrid>
        <w:gridCol w:w="9360"/>
      </w:tblGrid>
      <w:tr>
        <w:tc>
          <w:tcPr>
            <w:tcW w:type="dxa" w:w="9360"/>
            <w:shd w:val="clear" w:color="auto" w:fill="F2F5F8"/>
            <w:tcMar>
              <w:top w:w="140" w:type="dxa"/>
              <w:bottom w:w="140" w:type="dxa"/>
              <w:left w:w="200" w:type="dxa"/>
              <w:right w:w="140" w:type="dxa"/>
            </w:tcMar>
          </w:tcPr>
          <w:p>
            <w:pPr>
              <w:spacing w:after="40" w:line="276" w:lineRule="auto"/>
              <w:jc w:val="both"/>
            </w:pPr>
            <w:r>
              <w:rPr>
                <w:rFonts w:ascii="Times New Roman" w:hAnsi="Times New Roman"/>
                <w:b/>
                <w:color w:val="0B3D62"/>
                <w:sz w:val="22"/>
              </w:rPr>
              <w:t>Decisión de Diseño Dinámico:</w:t>
              <w:br/>
            </w:r>
            <w:r>
              <w:rPr>
                <w:rFonts w:ascii="Times New Roman" w:hAnsi="Times New Roman"/>
                <w:i/>
                <w:color w:val="141414"/>
                <w:sz w:val="22"/>
              </w:rPr>
              <w:t>¿Se debe validar el boleto con AUTOCOLCA antes o después de cobrar en la pasarela de pagos?</w:t>
              <w:br/>
              <w:t>Decisión: Se valida OBLIGATORIAMENTE ANTES de cobrar. Si se debitaran los fondos y luego AUTOCOLCA rechazara el boleto por encontrarse vencido o adulterado, la empresa asume costos financieros por contracargos bancarios no reembolsables y fricción operativa al gestionar devoluciones manuales. Validar primero protege financieramente a la plataforma y garantiza la validez legal del tour.</w:t>
            </w:r>
          </w:p>
        </w:tc>
      </w:tr>
    </w:tbl>
    <w:p>
      <w:pPr>
        <w:spacing w:after="80"/>
      </w:pPr>
    </w:p>
    <w:p>
      <w:pPr>
        <w:spacing w:before="160" w:after="60"/>
        <w:jc w:val="center"/>
      </w:pPr>
      <w:r>
        <w:drawing>
          <wp:inline xmlns:a="http://schemas.openxmlformats.org/drawingml/2006/main" xmlns:pic="http://schemas.openxmlformats.org/drawingml/2006/picture">
            <wp:extent cx="5486400" cy="2968101"/>
            <wp:docPr id="3" name="Picture 3"/>
            <wp:cNvGraphicFramePr>
              <a:graphicFrameLocks noChangeAspect="1"/>
            </wp:cNvGraphicFramePr>
            <a:graphic>
              <a:graphicData uri="http://schemas.openxmlformats.org/drawingml/2006/picture">
                <pic:pic>
                  <pic:nvPicPr>
                    <pic:cNvPr id="0" name="structurizr-Dinamico.png"/>
                    <pic:cNvPicPr/>
                  </pic:nvPicPr>
                  <pic:blipFill>
                    <a:blip r:embed="rId12"/>
                    <a:stretch>
                      <a:fillRect/>
                    </a:stretch>
                  </pic:blipFill>
                  <pic:spPr>
                    <a:xfrm>
                      <a:off x="0" y="0"/>
                      <a:ext cx="5486400" cy="2968101"/>
                    </a:xfrm>
                    <a:prstGeom prst="rect"/>
                  </pic:spPr>
                </pic:pic>
              </a:graphicData>
            </a:graphic>
          </wp:inline>
        </w:drawing>
      </w:r>
    </w:p>
    <w:p>
      <w:pPr>
        <w:spacing w:after="240"/>
        <w:jc w:val="center"/>
      </w:pPr>
      <w:r>
        <w:rPr>
          <w:rFonts w:ascii="Times New Roman" w:hAnsi="Times New Roman"/>
          <w:i/>
          <w:color w:val="505050"/>
          <w:sz w:val="20"/>
        </w:rPr>
        <w:t>Figura 3. Diagrama Dinámico: Interacción secuencial numerada para reserva y pago en línea.</w:t>
      </w:r>
    </w:p>
    <w:p>
      <w:pPr>
        <w:keepNext/>
        <w:spacing w:before="280" w:after="80"/>
      </w:pPr>
      <w:r>
        <w:rPr>
          <w:rFonts w:ascii="Times New Roman" w:hAnsi="Times New Roman"/>
          <w:b/>
          <w:color w:val="1B5E8B"/>
          <w:sz w:val="27"/>
        </w:rPr>
        <w:t>3.4. Diagrama de Despliegue en Producción</w:t>
      </w:r>
    </w:p>
    <w:p>
      <w:pPr>
        <w:spacing w:after="120" w:line="276" w:lineRule="auto"/>
        <w:jc w:val="both"/>
      </w:pPr>
      <w:r>
        <w:rPr>
          <w:rFonts w:ascii="Times New Roman" w:hAnsi="Times New Roman"/>
          <w:i w:val="0"/>
          <w:color w:val="141414"/>
          <w:sz w:val="24"/>
        </w:rPr>
        <w:t>Especifica la topología de cómputo en la nube para soportar los picos estacionales de julio y agosto: Balanceador de Carga con TLS (`AWS ALB / Nginx`), dos máquinas virtuales Ubuntu 24.04 con Docker para escalabilidad de la API y servicio gestionado de base de datos PostgreSQL 16.</w:t>
      </w:r>
    </w:p>
    <w:p>
      <w:pPr>
        <w:spacing w:before="160" w:after="60"/>
        <w:jc w:val="center"/>
      </w:pPr>
      <w:r>
        <w:drawing>
          <wp:inline xmlns:a="http://schemas.openxmlformats.org/drawingml/2006/main" xmlns:pic="http://schemas.openxmlformats.org/drawingml/2006/picture">
            <wp:extent cx="5029200" cy="4905375"/>
            <wp:docPr id="4" name="Picture 4"/>
            <wp:cNvGraphicFramePr>
              <a:graphicFrameLocks noChangeAspect="1"/>
            </wp:cNvGraphicFramePr>
            <a:graphic>
              <a:graphicData uri="http://schemas.openxmlformats.org/drawingml/2006/picture">
                <pic:pic>
                  <pic:nvPicPr>
                    <pic:cNvPr id="0" name="structurizr-DespliegueProduccion.png"/>
                    <pic:cNvPicPr/>
                  </pic:nvPicPr>
                  <pic:blipFill>
                    <a:blip r:embed="rId13"/>
                    <a:stretch>
                      <a:fillRect/>
                    </a:stretch>
                  </pic:blipFill>
                  <pic:spPr>
                    <a:xfrm>
                      <a:off x="0" y="0"/>
                      <a:ext cx="5029200" cy="4905375"/>
                    </a:xfrm>
                    <a:prstGeom prst="rect"/>
                  </pic:spPr>
                </pic:pic>
              </a:graphicData>
            </a:graphic>
          </wp:inline>
        </w:drawing>
      </w:r>
    </w:p>
    <w:p>
      <w:pPr>
        <w:spacing w:after="240"/>
        <w:jc w:val="center"/>
      </w:pPr>
      <w:r>
        <w:rPr>
          <w:rFonts w:ascii="Times New Roman" w:hAnsi="Times New Roman"/>
          <w:i/>
          <w:color w:val="505050"/>
          <w:sz w:val="20"/>
        </w:rPr>
        <w:t>Figura 4. Diagrama de Despliegue en Producción con clúster balanceado y alta disponibilidad.</w:t>
      </w:r>
    </w:p>
    <w:p>
      <w:pPr>
        <w:keepNext/>
        <w:spacing w:before="400" w:after="120"/>
      </w:pPr>
      <w:r>
        <w:rPr>
          <w:rFonts w:ascii="Times New Roman" w:hAnsi="Times New Roman"/>
          <w:b/>
          <w:color w:val="0B3D62"/>
          <w:sz w:val="32"/>
        </w:rPr>
        <w:t>4. Resolución del Reto Sin Conexión en Chivay (HU-05) y ADR-002</w:t>
      </w:r>
    </w:p>
    <w:p>
      <w:pPr>
        <w:spacing w:after="120" w:line="276" w:lineRule="auto"/>
        <w:jc w:val="both"/>
      </w:pPr>
      <w:r>
        <w:rPr>
          <w:rFonts w:ascii="Times New Roman" w:hAnsi="Times New Roman"/>
          <w:i w:val="0"/>
          <w:color w:val="141414"/>
          <w:sz w:val="24"/>
        </w:rPr>
        <w:t>Para responder a las caídas de internet en Chivay sin violar la restricción de 1 mes de desarrollo, se diseñó una solución Offline-First basada en IndexedDB en el navegador del operador y la política de Partición de Cupos Garantizados documentada en el ADR-002.</w:t>
      </w:r>
    </w:p>
    <w:p>
      <w:pPr>
        <w:spacing w:before="160" w:after="60"/>
        <w:jc w:val="center"/>
      </w:pPr>
      <w:r>
        <w:drawing>
          <wp:inline xmlns:a="http://schemas.openxmlformats.org/drawingml/2006/main" xmlns:pic="http://schemas.openxmlformats.org/drawingml/2006/picture">
            <wp:extent cx="5029200" cy="4521023"/>
            <wp:docPr id="5" name="Picture 5"/>
            <wp:cNvGraphicFramePr>
              <a:graphicFrameLocks noChangeAspect="1"/>
            </wp:cNvGraphicFramePr>
            <a:graphic>
              <a:graphicData uri="http://schemas.openxmlformats.org/drawingml/2006/picture">
                <pic:pic>
                  <pic:nvPicPr>
                    <pic:cNvPr id="0" name="structurizr-ContenedoresReto.png"/>
                    <pic:cNvPicPr/>
                  </pic:nvPicPr>
                  <pic:blipFill>
                    <a:blip r:embed="rId14"/>
                    <a:stretch>
                      <a:fillRect/>
                    </a:stretch>
                  </pic:blipFill>
                  <pic:spPr>
                    <a:xfrm>
                      <a:off x="0" y="0"/>
                      <a:ext cx="5029200" cy="4521023"/>
                    </a:xfrm>
                    <a:prstGeom prst="rect"/>
                  </pic:spPr>
                </pic:pic>
              </a:graphicData>
            </a:graphic>
          </wp:inline>
        </w:drawing>
      </w:r>
    </w:p>
    <w:p>
      <w:pPr>
        <w:spacing w:after="240"/>
        <w:jc w:val="center"/>
      </w:pPr>
      <w:r>
        <w:rPr>
          <w:rFonts w:ascii="Times New Roman" w:hAnsi="Times New Roman"/>
          <w:i/>
          <w:color w:val="505050"/>
          <w:sz w:val="20"/>
        </w:rPr>
        <w:t>Figura 5. Diagrama de Contenedores con soporte offline en Chivay (`ContenedoresReto`).</w:t>
      </w:r>
    </w:p>
    <w:p>
      <w:pPr>
        <w:keepNext/>
        <w:spacing w:before="400" w:after="120"/>
      </w:pPr>
      <w:r>
        <w:rPr>
          <w:rFonts w:ascii="Times New Roman" w:hAnsi="Times New Roman"/>
          <w:b/>
          <w:color w:val="0B3D62"/>
          <w:sz w:val="32"/>
        </w:rPr>
        <w:t>5. Diseño Orientado a Objetos: Patrones de Diseño GoF (AG-09)</w:t>
      </w:r>
    </w:p>
    <w:p>
      <w:pPr>
        <w:spacing w:after="120" w:line="276" w:lineRule="auto"/>
        <w:jc w:val="both"/>
      </w:pPr>
      <w:r>
        <w:rPr>
          <w:rFonts w:ascii="Times New Roman" w:hAnsi="Times New Roman"/>
          <w:i w:val="0"/>
          <w:color w:val="141414"/>
          <w:sz w:val="24"/>
        </w:rPr>
        <w:t>En la Semana 09, RutaColca profundizó su diseño hacia el nivel de componentes internos y clases en Java 21, resolviendo cinco escenarios de crecimiento mediante el catálogo GoF y principios de diseño SOLID.</w:t>
      </w:r>
    </w:p>
    <w:p>
      <w:pPr>
        <w:keepNext/>
        <w:spacing w:before="280" w:after="80"/>
      </w:pPr>
      <w:r>
        <w:rPr>
          <w:rFonts w:ascii="Times New Roman" w:hAnsi="Times New Roman"/>
          <w:b/>
          <w:color w:val="1B5E8B"/>
          <w:sz w:val="27"/>
        </w:rPr>
        <w:t>5.1. Escenario 1: Procesamiento Multipasarela (Factory Method + Adapter)</w:t>
      </w:r>
    </w:p>
    <w:p>
      <w:pPr>
        <w:spacing w:after="120" w:line="276" w:lineRule="auto"/>
        <w:jc w:val="both"/>
      </w:pPr>
      <w:r>
        <w:rPr>
          <w:rFonts w:ascii="Times New Roman" w:hAnsi="Times New Roman"/>
          <w:i w:val="0"/>
          <w:color w:val="141414"/>
          <w:sz w:val="24"/>
        </w:rPr>
        <w:t>Para aceptar simultáneamente Tarjeta de Crédito, Yape y PayPal sin que `ReservaService` dependa de clases concretas, se implementó el patrón Factory Method combinado con Adaptadores. La fábrica `PasarelaPagoFactory` decide qué adaptador instanciar, mientras que el cliente solo conoce el contrato polimórfico `PasarelaPago` (Principio Abierto/Cerrado y Programar para Interfaces).</w:t>
      </w:r>
    </w:p>
    <w:p>
      <w:pPr>
        <w:spacing w:before="160" w:after="60"/>
        <w:jc w:val="center"/>
      </w:pPr>
      <w:r>
        <w:drawing>
          <wp:inline xmlns:a="http://schemas.openxmlformats.org/drawingml/2006/main" xmlns:pic="http://schemas.openxmlformats.org/drawingml/2006/picture">
            <wp:extent cx="5120640" cy="1737556"/>
            <wp:docPr id="6" name="Picture 6"/>
            <wp:cNvGraphicFramePr>
              <a:graphicFrameLocks noChangeAspect="1"/>
            </wp:cNvGraphicFramePr>
            <a:graphic>
              <a:graphicData uri="http://schemas.openxmlformats.org/drawingml/2006/picture">
                <pic:pic>
                  <pic:nvPicPr>
                    <pic:cNvPr id="0" name="patron-pagos-factory-adapter.png"/>
                    <pic:cNvPicPr/>
                  </pic:nvPicPr>
                  <pic:blipFill>
                    <a:blip r:embed="rId15"/>
                    <a:stretch>
                      <a:fillRect/>
                    </a:stretch>
                  </pic:blipFill>
                  <pic:spPr>
                    <a:xfrm>
                      <a:off x="0" y="0"/>
                      <a:ext cx="5120640" cy="1737556"/>
                    </a:xfrm>
                    <a:prstGeom prst="rect"/>
                  </pic:spPr>
                </pic:pic>
              </a:graphicData>
            </a:graphic>
          </wp:inline>
        </w:drawing>
      </w:r>
    </w:p>
    <w:p>
      <w:pPr>
        <w:spacing w:after="240"/>
        <w:jc w:val="center"/>
      </w:pPr>
      <w:r>
        <w:rPr>
          <w:rFonts w:ascii="Times New Roman" w:hAnsi="Times New Roman"/>
          <w:i/>
          <w:color w:val="505050"/>
          <w:sz w:val="20"/>
        </w:rPr>
        <w:t>Figura 6. Diagrama de Clases: Patrón Factory Method y Adaptadores para pasarelas de pago.</w:t>
      </w:r>
    </w:p>
    <w:p>
      <w:pPr>
        <w:keepNext/>
        <w:spacing w:before="280" w:after="80"/>
      </w:pPr>
      <w:r>
        <w:rPr>
          <w:rFonts w:ascii="Times New Roman" w:hAnsi="Times New Roman"/>
          <w:b/>
          <w:color w:val="1B5E8B"/>
          <w:sz w:val="27"/>
        </w:rPr>
        <w:t>5.2. Escenario 2: Tarifas Dinámicas (Strategy)</w:t>
      </w:r>
    </w:p>
    <w:p>
      <w:pPr>
        <w:spacing w:after="120" w:line="276" w:lineRule="auto"/>
        <w:jc w:val="both"/>
      </w:pPr>
      <w:r>
        <w:rPr>
          <w:rFonts w:ascii="Times New Roman" w:hAnsi="Times New Roman"/>
          <w:i w:val="0"/>
          <w:color w:val="141414"/>
          <w:sz w:val="24"/>
        </w:rPr>
        <w:t>El costo del tour varía según temporada alta (+25%), descuento grupal (-15% a partir de 5 pasajeros) o condición estudiantil (-30%). El patrón Strategy encapsula cada algoritmo de cálculo en clases concretas (`PrecioTemporadaAltaStrategy`, `PrecioGrupoStrategy`, `PrecioEstudianteStrategy`). La clase `Reserva` actúa como contexto y delega el cálculo, permitiendo intercambiar estrategias en caliente.</w:t>
      </w:r>
    </w:p>
    <w:p>
      <w:pPr>
        <w:spacing w:before="160" w:after="60"/>
        <w:jc w:val="center"/>
      </w:pPr>
      <w:r>
        <w:drawing>
          <wp:inline xmlns:a="http://schemas.openxmlformats.org/drawingml/2006/main" xmlns:pic="http://schemas.openxmlformats.org/drawingml/2006/picture">
            <wp:extent cx="5120640" cy="1208411"/>
            <wp:docPr id="7" name="Picture 7"/>
            <wp:cNvGraphicFramePr>
              <a:graphicFrameLocks noChangeAspect="1"/>
            </wp:cNvGraphicFramePr>
            <a:graphic>
              <a:graphicData uri="http://schemas.openxmlformats.org/drawingml/2006/picture">
                <pic:pic>
                  <pic:nvPicPr>
                    <pic:cNvPr id="0" name="patron-tarifas-strategy.png"/>
                    <pic:cNvPicPr/>
                  </pic:nvPicPr>
                  <pic:blipFill>
                    <a:blip r:embed="rId16"/>
                    <a:stretch>
                      <a:fillRect/>
                    </a:stretch>
                  </pic:blipFill>
                  <pic:spPr>
                    <a:xfrm>
                      <a:off x="0" y="0"/>
                      <a:ext cx="5120640" cy="1208411"/>
                    </a:xfrm>
                    <a:prstGeom prst="rect"/>
                  </pic:spPr>
                </pic:pic>
              </a:graphicData>
            </a:graphic>
          </wp:inline>
        </w:drawing>
      </w:r>
    </w:p>
    <w:p>
      <w:pPr>
        <w:spacing w:after="240"/>
        <w:jc w:val="center"/>
      </w:pPr>
      <w:r>
        <w:rPr>
          <w:rFonts w:ascii="Times New Roman" w:hAnsi="Times New Roman"/>
          <w:i/>
          <w:color w:val="505050"/>
          <w:sz w:val="20"/>
        </w:rPr>
        <w:t>Figura 7. Diagrama de Clases: Patrón Strategy para tarificación dinámica de tours.</w:t>
      </w:r>
    </w:p>
    <w:p>
      <w:pPr>
        <w:keepNext/>
        <w:spacing w:before="280" w:after="80"/>
      </w:pPr>
      <w:r>
        <w:rPr>
          <w:rFonts w:ascii="Times New Roman" w:hAnsi="Times New Roman"/>
          <w:b/>
          <w:color w:val="1B5E8B"/>
          <w:sz w:val="27"/>
        </w:rPr>
        <w:t>5.3. Escenario 3: Notificaciones Concurrentes Desacopladas (Observer)</w:t>
      </w:r>
    </w:p>
    <w:p>
      <w:pPr>
        <w:spacing w:after="120" w:line="276" w:lineRule="auto"/>
        <w:jc w:val="both"/>
      </w:pPr>
      <w:r>
        <w:rPr>
          <w:rFonts w:ascii="Times New Roman" w:hAnsi="Times New Roman"/>
          <w:i w:val="0"/>
          <w:color w:val="141414"/>
          <w:sz w:val="24"/>
        </w:rPr>
        <w:t>Al confirmar una reserva se debe alertar al turista (correo), al guía (WhatsApp) y a la agencia (tablero PWA). El patrón Observer desacopla el servicio de reservas de los canales de comunicación: `PublicadorReservas` emite el evento inmutable `EventoReservaConfirmada` hacia los observadores suscritos de forma independiente (Bajo acoplamiento y Responsabilidad Única).</w:t>
      </w:r>
    </w:p>
    <w:p>
      <w:pPr>
        <w:spacing w:before="160" w:after="60"/>
        <w:jc w:val="center"/>
      </w:pPr>
      <w:r>
        <w:drawing>
          <wp:inline xmlns:a="http://schemas.openxmlformats.org/drawingml/2006/main" xmlns:pic="http://schemas.openxmlformats.org/drawingml/2006/picture">
            <wp:extent cx="5120640" cy="1725646"/>
            <wp:docPr id="8" name="Picture 8"/>
            <wp:cNvGraphicFramePr>
              <a:graphicFrameLocks noChangeAspect="1"/>
            </wp:cNvGraphicFramePr>
            <a:graphic>
              <a:graphicData uri="http://schemas.openxmlformats.org/drawingml/2006/picture">
                <pic:pic>
                  <pic:nvPicPr>
                    <pic:cNvPr id="0" name="patron-notificaciones-observer.png"/>
                    <pic:cNvPicPr/>
                  </pic:nvPicPr>
                  <pic:blipFill>
                    <a:blip r:embed="rId17"/>
                    <a:stretch>
                      <a:fillRect/>
                    </a:stretch>
                  </pic:blipFill>
                  <pic:spPr>
                    <a:xfrm>
                      <a:off x="0" y="0"/>
                      <a:ext cx="5120640" cy="1725646"/>
                    </a:xfrm>
                    <a:prstGeom prst="rect"/>
                  </pic:spPr>
                </pic:pic>
              </a:graphicData>
            </a:graphic>
          </wp:inline>
        </w:drawing>
      </w:r>
    </w:p>
    <w:p>
      <w:pPr>
        <w:spacing w:after="240"/>
        <w:jc w:val="center"/>
      </w:pPr>
      <w:r>
        <w:rPr>
          <w:rFonts w:ascii="Times New Roman" w:hAnsi="Times New Roman"/>
          <w:i/>
          <w:color w:val="505050"/>
          <w:sz w:val="20"/>
        </w:rPr>
        <w:t>Figura 8. Diagrama de Clases: Patrón Observer para despacho de notificaciones multicanal.</w:t>
      </w:r>
    </w:p>
    <w:p>
      <w:pPr>
        <w:keepNext/>
        <w:spacing w:before="280" w:after="80"/>
      </w:pPr>
      <w:r>
        <w:rPr>
          <w:rFonts w:ascii="Times New Roman" w:hAnsi="Times New Roman"/>
          <w:b/>
          <w:color w:val="1B5E8B"/>
          <w:sz w:val="27"/>
        </w:rPr>
        <w:t>5.4. Escenario 4: Integración con la API Legada de AUTOCOLCA (Adapter)</w:t>
      </w:r>
    </w:p>
    <w:p>
      <w:pPr>
        <w:spacing w:after="120" w:line="276" w:lineRule="auto"/>
        <w:jc w:val="both"/>
      </w:pPr>
      <w:r>
        <w:rPr>
          <w:rFonts w:ascii="Times New Roman" w:hAnsi="Times New Roman"/>
          <w:i w:val="0"/>
          <w:color w:val="141414"/>
          <w:sz w:val="24"/>
        </w:rPr>
        <w:t>La entidad estatal AUTOCOLCA expone un servicio con firmas y estructuras propietarias (`consultarVigenciaBoletoServicioPublico`). El patrón Adapter implementa la interfaz de dominio `ValidadorBoleto` a través de `AutocolcaApiAdapter`, protegiendo el núcleo de la aplicación de cambios en el proveedor externo (Capa Anticorrupción / ACL e Inversión de Dependencias).</w:t>
      </w:r>
    </w:p>
    <w:p>
      <w:pPr>
        <w:spacing w:before="160" w:after="60"/>
        <w:jc w:val="center"/>
      </w:pPr>
      <w:r>
        <w:drawing>
          <wp:inline xmlns:a="http://schemas.openxmlformats.org/drawingml/2006/main" xmlns:pic="http://schemas.openxmlformats.org/drawingml/2006/picture">
            <wp:extent cx="4937760" cy="2221458"/>
            <wp:docPr id="9" name="Picture 9"/>
            <wp:cNvGraphicFramePr>
              <a:graphicFrameLocks noChangeAspect="1"/>
            </wp:cNvGraphicFramePr>
            <a:graphic>
              <a:graphicData uri="http://schemas.openxmlformats.org/drawingml/2006/picture">
                <pic:pic>
                  <pic:nvPicPr>
                    <pic:cNvPr id="0" name="patron-autocolca-adapter.png"/>
                    <pic:cNvPicPr/>
                  </pic:nvPicPr>
                  <pic:blipFill>
                    <a:blip r:embed="rId18"/>
                    <a:stretch>
                      <a:fillRect/>
                    </a:stretch>
                  </pic:blipFill>
                  <pic:spPr>
                    <a:xfrm>
                      <a:off x="0" y="0"/>
                      <a:ext cx="4937760" cy="2221458"/>
                    </a:xfrm>
                    <a:prstGeom prst="rect"/>
                  </pic:spPr>
                </pic:pic>
              </a:graphicData>
            </a:graphic>
          </wp:inline>
        </w:drawing>
      </w:r>
    </w:p>
    <w:p>
      <w:pPr>
        <w:spacing w:after="240"/>
        <w:jc w:val="center"/>
      </w:pPr>
      <w:r>
        <w:rPr>
          <w:rFonts w:ascii="Times New Roman" w:hAnsi="Times New Roman"/>
          <w:i/>
          <w:color w:val="505050"/>
          <w:sz w:val="20"/>
        </w:rPr>
        <w:t>Figura 9. Diagrama de Clases: Patrón Adapter como Capa Anticorrupción frente a AUTOCOLCA.</w:t>
      </w:r>
    </w:p>
    <w:p>
      <w:pPr>
        <w:keepNext/>
        <w:spacing w:before="280" w:after="80"/>
      </w:pPr>
      <w:r>
        <w:rPr>
          <w:rFonts w:ascii="Times New Roman" w:hAnsi="Times New Roman"/>
          <w:b/>
          <w:color w:val="1B5E8B"/>
          <w:sz w:val="27"/>
        </w:rPr>
        <w:t>5.5. Escenario 5: El Reto de la «Paternite» (Consultas Masivas de Disponibilidad)</w:t>
      </w:r>
    </w:p>
    <w:p>
      <w:pPr>
        <w:spacing w:after="120" w:line="276" w:lineRule="auto"/>
        <w:jc w:val="both"/>
      </w:pPr>
      <w:r>
        <w:rPr>
          <w:rFonts w:ascii="Times New Roman" w:hAnsi="Times New Roman"/>
          <w:b/>
          <w:color w:val="141414"/>
          <w:sz w:val="24"/>
        </w:rPr>
        <w:t xml:space="preserve">Defensa contra la Paternite: </w:t>
      </w:r>
      <w:r>
        <w:rPr>
          <w:rFonts w:ascii="Times New Roman" w:hAnsi="Times New Roman"/>
          <w:i w:val="0"/>
          <w:color w:val="141414"/>
          <w:sz w:val="24"/>
        </w:rPr>
        <w:t>La disponibilidad de cupos se consulta cientos de veces por minuto. Ante la tentación de forzar un patrón estructural Proxy de caché en memoria, el equipo aplicó el principio de Ousterhout:</w:t>
      </w:r>
    </w:p>
    <w:tbl>
      <w:tblPr>
        <w:tblW w:type="auto" w:w="0"/>
        <w:jc w:val="center"/>
        <w:tblLook w:firstColumn="1" w:firstRow="1" w:lastColumn="0" w:lastRow="0" w:noHBand="0" w:noVBand="1" w:val="04A0"/>
      </w:tblPr>
      <w:tblGrid>
        <w:gridCol w:w="9360"/>
      </w:tblGrid>
      <w:tr>
        <w:tc>
          <w:tcPr>
            <w:tcW w:type="dxa" w:w="9360"/>
            <w:shd w:val="clear" w:color="auto" w:fill="F2F5F8"/>
            <w:tcMar>
              <w:top w:w="140" w:type="dxa"/>
              <w:bottom w:w="140" w:type="dxa"/>
              <w:left w:w="200" w:type="dxa"/>
              <w:right w:w="140" w:type="dxa"/>
            </w:tcMar>
          </w:tcPr>
          <w:p>
            <w:pPr>
              <w:spacing w:after="40" w:line="276" w:lineRule="auto"/>
              <w:jc w:val="both"/>
            </w:pPr>
            <w:r>
              <w:rPr>
                <w:rFonts w:ascii="Times New Roman" w:hAnsi="Times New Roman"/>
                <w:b/>
                <w:color w:val="0B3D62"/>
                <w:sz w:val="22"/>
              </w:rPr>
              <w:t>Dictamen Técnico sobre el Reto de la Paternite:</w:t>
              <w:br/>
            </w:r>
            <w:r>
              <w:rPr>
                <w:rFonts w:ascii="Times New Roman" w:hAnsi="Times New Roman"/>
                <w:i/>
                <w:color w:val="141414"/>
                <w:sz w:val="22"/>
              </w:rPr>
              <w:t>¿Por qué NO usar un patrón Proxy en el Escenario 5?</w:t>
              <w:br/>
              <w:t>1. Inconsistencia y Overbooking: Un Proxy en memoria en un clúster con 2 servidores cloud genera copias locales desincronizadas, permitiendo que dos agencias vendan el último asiento.</w:t>
              <w:br/>
              <w:t>2. Complejidad innecesaria: Requiere código multihilo complejo y gestión manual de invalidación.</w:t>
              <w:br/>
              <w:t>3. Solución nativa superior: Un índice relacional B-Tree en PostgreSQL 16 sobre (tour_id, fecha_salida) resuelve las lecturas en menos de 1 milisegundo directamente desde el motor ACID. Adicionalmente, cabeceras HTTP Cache-Control: max-age=30 en el balanceador absorben las peticiones repetidas sin añadir una sola línea de código espagueti en Java.</w:t>
            </w:r>
          </w:p>
        </w:tc>
      </w:tr>
    </w:tbl>
    <w:p>
      <w:pPr>
        <w:spacing w:after="80"/>
      </w:pPr>
    </w:p>
    <w:p>
      <w:pPr>
        <w:keepNext/>
        <w:spacing w:before="400" w:after="120"/>
      </w:pPr>
      <w:r>
        <w:rPr>
          <w:rFonts w:ascii="Times New Roman" w:hAnsi="Times New Roman"/>
          <w:b/>
          <w:color w:val="0B3D62"/>
          <w:sz w:val="32"/>
        </w:rPr>
        <w:t>6. Gobernanza de Inteligencia Artificial y Auditoría Cruzada</w:t>
      </w:r>
    </w:p>
    <w:p>
      <w:pPr>
        <w:spacing w:after="120" w:line="276" w:lineRule="auto"/>
        <w:jc w:val="both"/>
      </w:pPr>
      <w:r>
        <w:rPr>
          <w:rFonts w:ascii="Times New Roman" w:hAnsi="Times New Roman"/>
          <w:i w:val="0"/>
          <w:color w:val="141414"/>
          <w:sz w:val="24"/>
        </w:rPr>
        <w:t>Bajo la directiva de la asignatura («La IA propone, el equipo decide y verifica»), el equipo documentó todas las interacciones con asistentes inteligentes, identificando y rechazando sistemáticamente las alucinaciones y la tendencia de los LLM al sobrediseño.</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3D62"/>
            <w:tcMar>
              <w:top w:w="70" w:type="dxa"/>
              <w:bottom w:w="70" w:type="dxa"/>
              <w:left w:w="80" w:type="dxa"/>
              <w:right w:w="80" w:type="dxa"/>
            </w:tcMar>
          </w:tcPr>
          <w:p>
            <w:pPr>
              <w:spacing w:after="40"/>
            </w:pPr>
            <w:r>
              <w:rPr>
                <w:rFonts w:ascii="Times New Roman" w:hAnsi="Times New Roman"/>
                <w:b/>
                <w:color w:val="FFFFFF"/>
                <w:sz w:val="20"/>
              </w:rPr>
              <w:t>Actividad</w:t>
            </w:r>
          </w:p>
        </w:tc>
        <w:tc>
          <w:tcPr>
            <w:tcW w:type="dxa" w:w="2340"/>
            <w:shd w:val="clear" w:color="auto" w:fill="0B3D62"/>
            <w:tcMar>
              <w:top w:w="70" w:type="dxa"/>
              <w:bottom w:w="70" w:type="dxa"/>
              <w:left w:w="80" w:type="dxa"/>
              <w:right w:w="80" w:type="dxa"/>
            </w:tcMar>
          </w:tcPr>
          <w:p>
            <w:pPr>
              <w:spacing w:after="40"/>
            </w:pPr>
            <w:r>
              <w:rPr>
                <w:rFonts w:ascii="Times New Roman" w:hAnsi="Times New Roman"/>
                <w:b/>
                <w:color w:val="FFFFFF"/>
                <w:sz w:val="20"/>
              </w:rPr>
              <w:t>Propuesta de la IA</w:t>
            </w:r>
          </w:p>
        </w:tc>
        <w:tc>
          <w:tcPr>
            <w:tcW w:type="dxa" w:w="2340"/>
            <w:shd w:val="clear" w:color="auto" w:fill="0B3D62"/>
            <w:tcMar>
              <w:top w:w="70" w:type="dxa"/>
              <w:bottom w:w="70" w:type="dxa"/>
              <w:left w:w="80" w:type="dxa"/>
              <w:right w:w="80" w:type="dxa"/>
            </w:tcMar>
          </w:tcPr>
          <w:p>
            <w:pPr>
              <w:spacing w:after="40"/>
            </w:pPr>
            <w:r>
              <w:rPr>
                <w:rFonts w:ascii="Times New Roman" w:hAnsi="Times New Roman"/>
                <w:b/>
                <w:color w:val="FFFFFF"/>
                <w:sz w:val="20"/>
              </w:rPr>
              <w:t>Evaluación Crítica del Equipo</w:t>
            </w:r>
          </w:p>
        </w:tc>
        <w:tc>
          <w:tcPr>
            <w:tcW w:type="dxa" w:w="2340"/>
            <w:shd w:val="clear" w:color="auto" w:fill="0B3D62"/>
            <w:tcMar>
              <w:top w:w="70" w:type="dxa"/>
              <w:bottom w:w="70" w:type="dxa"/>
              <w:left w:w="80" w:type="dxa"/>
              <w:right w:w="80" w:type="dxa"/>
            </w:tcMar>
          </w:tcPr>
          <w:p>
            <w:pPr>
              <w:spacing w:after="40"/>
            </w:pPr>
            <w:r>
              <w:rPr>
                <w:rFonts w:ascii="Times New Roman" w:hAnsi="Times New Roman"/>
                <w:b/>
                <w:color w:val="FFFFFF"/>
                <w:sz w:val="20"/>
              </w:rPr>
              <w:t>Decisión Final</w:t>
            </w:r>
          </w:p>
        </w:tc>
      </w:tr>
      <w:tr>
        <w:tc>
          <w:tcPr>
            <w:tcW w:type="dxa" w:w="2340"/>
            <w:shd w:val="clear" w:color="auto" w:fill="FFFFFF"/>
            <w:tcMar>
              <w:top w:w="50" w:type="dxa"/>
              <w:bottom w:w="50" w:type="dxa"/>
              <w:left w:w="60" w:type="dxa"/>
              <w:right w:w="60" w:type="dxa"/>
            </w:tcMar>
          </w:tcPr>
          <w:p>
            <w:pPr>
              <w:spacing w:after="40"/>
            </w:pPr>
            <w:r>
              <w:rPr>
                <w:rFonts w:ascii="Times New Roman" w:hAnsi="Times New Roman"/>
                <w:b/>
                <w:color w:val="141414"/>
                <w:sz w:val="19"/>
              </w:rPr>
              <w:t>AG-08 · Paso 1</w:t>
            </w:r>
          </w:p>
        </w:tc>
        <w:tc>
          <w:tcPr>
            <w:tcW w:type="dxa" w:w="2340"/>
            <w:shd w:val="clear" w:color="auto" w:fill="FFFFFF"/>
            <w:tcMar>
              <w:top w:w="50" w:type="dxa"/>
              <w:bottom w:w="50" w:type="dxa"/>
              <w:left w:w="60" w:type="dxa"/>
              <w:right w:w="60" w:type="dxa"/>
            </w:tcMar>
          </w:tcPr>
          <w:p>
            <w:pPr>
              <w:spacing w:after="40"/>
            </w:pPr>
            <w:r>
              <w:rPr>
                <w:rFonts w:ascii="Times New Roman" w:hAnsi="Times New Roman"/>
                <w:color w:val="141414"/>
                <w:sz w:val="19"/>
              </w:rPr>
              <w:t>Incluir Docker como contenedor lógico C4.</w:t>
            </w:r>
          </w:p>
        </w:tc>
        <w:tc>
          <w:tcPr>
            <w:tcW w:type="dxa" w:w="2340"/>
            <w:shd w:val="clear" w:color="auto" w:fill="FFFFFF"/>
            <w:tcMar>
              <w:top w:w="50" w:type="dxa"/>
              <w:bottom w:w="50" w:type="dxa"/>
              <w:left w:w="60" w:type="dxa"/>
              <w:right w:w="60" w:type="dxa"/>
            </w:tcMar>
          </w:tcPr>
          <w:p>
            <w:pPr>
              <w:spacing w:after="40"/>
            </w:pPr>
            <w:r>
              <w:rPr>
                <w:rFonts w:ascii="Times New Roman" w:hAnsi="Times New Roman"/>
                <w:color w:val="141414"/>
                <w:sz w:val="19"/>
              </w:rPr>
              <w:t>Violación conceptual grave de la regla de oro C4.</w:t>
            </w:r>
          </w:p>
        </w:tc>
        <w:tc>
          <w:tcPr>
            <w:tcW w:type="dxa" w:w="2340"/>
            <w:shd w:val="clear" w:color="auto" w:fill="FFFFFF"/>
            <w:tcMar>
              <w:top w:w="50" w:type="dxa"/>
              <w:bottom w:w="50" w:type="dxa"/>
              <w:left w:w="60" w:type="dxa"/>
              <w:right w:w="60" w:type="dxa"/>
            </w:tcMar>
          </w:tcPr>
          <w:p>
            <w:pPr>
              <w:spacing w:after="40"/>
            </w:pPr>
            <w:r>
              <w:rPr>
                <w:rFonts w:ascii="Times New Roman" w:hAnsi="Times New Roman"/>
                <w:b/>
                <w:color w:val="141414"/>
                <w:sz w:val="19"/>
              </w:rPr>
              <w:t>Rechazado. Reubicado en el diagrama de despliegue.</w:t>
            </w:r>
          </w:p>
        </w:tc>
      </w:tr>
      <w:tr>
        <w:tc>
          <w:tcPr>
            <w:tcW w:type="dxa" w:w="2340"/>
            <w:shd w:val="clear" w:color="auto" w:fill="F9FAFC"/>
            <w:tcMar>
              <w:top w:w="50" w:type="dxa"/>
              <w:bottom w:w="50" w:type="dxa"/>
              <w:left w:w="60" w:type="dxa"/>
              <w:right w:w="60" w:type="dxa"/>
            </w:tcMar>
          </w:tcPr>
          <w:p>
            <w:pPr>
              <w:spacing w:after="40"/>
            </w:pPr>
            <w:r>
              <w:rPr>
                <w:rFonts w:ascii="Times New Roman" w:hAnsi="Times New Roman"/>
                <w:b/>
                <w:color w:val="141414"/>
                <w:sz w:val="19"/>
              </w:rPr>
              <w:t>AG-08 · Paso 3</w:t>
            </w:r>
          </w:p>
        </w:tc>
        <w:tc>
          <w:tcPr>
            <w:tcW w:type="dxa" w:w="2340"/>
            <w:shd w:val="clear" w:color="auto" w:fill="F9FAFC"/>
            <w:tcMar>
              <w:top w:w="50" w:type="dxa"/>
              <w:bottom w:w="50" w:type="dxa"/>
              <w:left w:w="60" w:type="dxa"/>
              <w:right w:w="60" w:type="dxa"/>
            </w:tcMar>
          </w:tcPr>
          <w:p>
            <w:pPr>
              <w:spacing w:after="40"/>
            </w:pPr>
            <w:r>
              <w:rPr>
                <w:rFonts w:ascii="Times New Roman" w:hAnsi="Times New Roman"/>
                <w:color w:val="141414"/>
                <w:sz w:val="19"/>
              </w:rPr>
              <w:t>Incorporar Kafka y Redis al backend.</w:t>
            </w:r>
          </w:p>
        </w:tc>
        <w:tc>
          <w:tcPr>
            <w:tcW w:type="dxa" w:w="2340"/>
            <w:shd w:val="clear" w:color="auto" w:fill="F9FAFC"/>
            <w:tcMar>
              <w:top w:w="50" w:type="dxa"/>
              <w:bottom w:w="50" w:type="dxa"/>
              <w:left w:w="60" w:type="dxa"/>
              <w:right w:w="60" w:type="dxa"/>
            </w:tcMar>
          </w:tcPr>
          <w:p>
            <w:pPr>
              <w:spacing w:after="40"/>
            </w:pPr>
            <w:r>
              <w:rPr>
                <w:rFonts w:ascii="Times New Roman" w:hAnsi="Times New Roman"/>
                <w:color w:val="141414"/>
                <w:sz w:val="19"/>
              </w:rPr>
              <w:t>Sobrediseño que excede el plazo del MVP de 1 mes.</w:t>
            </w:r>
          </w:p>
        </w:tc>
        <w:tc>
          <w:tcPr>
            <w:tcW w:type="dxa" w:w="2340"/>
            <w:shd w:val="clear" w:color="auto" w:fill="F9FAFC"/>
            <w:tcMar>
              <w:top w:w="50" w:type="dxa"/>
              <w:bottom w:w="50" w:type="dxa"/>
              <w:left w:w="60" w:type="dxa"/>
              <w:right w:w="60" w:type="dxa"/>
            </w:tcMar>
          </w:tcPr>
          <w:p>
            <w:pPr>
              <w:spacing w:after="40"/>
            </w:pPr>
            <w:r>
              <w:rPr>
                <w:rFonts w:ascii="Times New Roman" w:hAnsi="Times New Roman"/>
                <w:b/>
                <w:color w:val="141414"/>
                <w:sz w:val="19"/>
              </w:rPr>
              <w:t>Rechazado. Se mantuvo el stack del ADR-001.</w:t>
            </w:r>
          </w:p>
        </w:tc>
      </w:tr>
      <w:tr>
        <w:tc>
          <w:tcPr>
            <w:tcW w:type="dxa" w:w="2340"/>
            <w:shd w:val="clear" w:color="auto" w:fill="FFFFFF"/>
            <w:tcMar>
              <w:top w:w="50" w:type="dxa"/>
              <w:bottom w:w="50" w:type="dxa"/>
              <w:left w:w="60" w:type="dxa"/>
              <w:right w:w="60" w:type="dxa"/>
            </w:tcMar>
          </w:tcPr>
          <w:p>
            <w:pPr>
              <w:spacing w:after="40"/>
            </w:pPr>
            <w:r>
              <w:rPr>
                <w:rFonts w:ascii="Times New Roman" w:hAnsi="Times New Roman"/>
                <w:b/>
                <w:color w:val="141414"/>
                <w:sz w:val="19"/>
              </w:rPr>
              <w:t>AG-08 · Paso 4</w:t>
            </w:r>
          </w:p>
        </w:tc>
        <w:tc>
          <w:tcPr>
            <w:tcW w:type="dxa" w:w="2340"/>
            <w:shd w:val="clear" w:color="auto" w:fill="FFFFFF"/>
            <w:tcMar>
              <w:top w:w="50" w:type="dxa"/>
              <w:bottom w:w="50" w:type="dxa"/>
              <w:left w:w="60" w:type="dxa"/>
              <w:right w:w="60" w:type="dxa"/>
            </w:tcMar>
          </w:tcPr>
          <w:p>
            <w:pPr>
              <w:spacing w:after="40"/>
            </w:pPr>
            <w:r>
              <w:rPr>
                <w:rFonts w:ascii="Times New Roman" w:hAnsi="Times New Roman"/>
                <w:color w:val="141414"/>
                <w:sz w:val="19"/>
              </w:rPr>
              <w:t>Cobrar antes de validar con AUTOCOLCA.</w:t>
            </w:r>
          </w:p>
        </w:tc>
        <w:tc>
          <w:tcPr>
            <w:tcW w:type="dxa" w:w="2340"/>
            <w:shd w:val="clear" w:color="auto" w:fill="FFFFFF"/>
            <w:tcMar>
              <w:top w:w="50" w:type="dxa"/>
              <w:bottom w:w="50" w:type="dxa"/>
              <w:left w:w="60" w:type="dxa"/>
              <w:right w:w="60" w:type="dxa"/>
            </w:tcMar>
          </w:tcPr>
          <w:p>
            <w:pPr>
              <w:spacing w:after="40"/>
            </w:pPr>
            <w:r>
              <w:rPr>
                <w:rFonts w:ascii="Times New Roman" w:hAnsi="Times New Roman"/>
                <w:color w:val="141414"/>
                <w:sz w:val="19"/>
              </w:rPr>
              <w:t>Riesgo financiero severo de contracargos bancarios.</w:t>
            </w:r>
          </w:p>
        </w:tc>
        <w:tc>
          <w:tcPr>
            <w:tcW w:type="dxa" w:w="2340"/>
            <w:shd w:val="clear" w:color="auto" w:fill="FFFFFF"/>
            <w:tcMar>
              <w:top w:w="50" w:type="dxa"/>
              <w:bottom w:w="50" w:type="dxa"/>
              <w:left w:w="60" w:type="dxa"/>
              <w:right w:w="60" w:type="dxa"/>
            </w:tcMar>
          </w:tcPr>
          <w:p>
            <w:pPr>
              <w:spacing w:after="40"/>
            </w:pPr>
            <w:r>
              <w:rPr>
                <w:rFonts w:ascii="Times New Roman" w:hAnsi="Times New Roman"/>
                <w:b/>
                <w:color w:val="141414"/>
                <w:sz w:val="19"/>
              </w:rPr>
              <w:t>Reordenado. Validación previa obligatoria.</w:t>
            </w:r>
          </w:p>
        </w:tc>
      </w:tr>
      <w:tr>
        <w:tc>
          <w:tcPr>
            <w:tcW w:type="dxa" w:w="2340"/>
            <w:shd w:val="clear" w:color="auto" w:fill="F9FAFC"/>
            <w:tcMar>
              <w:top w:w="50" w:type="dxa"/>
              <w:bottom w:w="50" w:type="dxa"/>
              <w:left w:w="60" w:type="dxa"/>
              <w:right w:w="60" w:type="dxa"/>
            </w:tcMar>
          </w:tcPr>
          <w:p>
            <w:pPr>
              <w:spacing w:after="40"/>
            </w:pPr>
            <w:r>
              <w:rPr>
                <w:rFonts w:ascii="Times New Roman" w:hAnsi="Times New Roman"/>
                <w:b/>
                <w:color w:val="141414"/>
                <w:sz w:val="19"/>
              </w:rPr>
              <w:t>AG-09 · Paso 1</w:t>
            </w:r>
          </w:p>
        </w:tc>
        <w:tc>
          <w:tcPr>
            <w:tcW w:type="dxa" w:w="2340"/>
            <w:shd w:val="clear" w:color="auto" w:fill="F9FAFC"/>
            <w:tcMar>
              <w:top w:w="50" w:type="dxa"/>
              <w:bottom w:w="50" w:type="dxa"/>
              <w:left w:w="60" w:type="dxa"/>
              <w:right w:w="60" w:type="dxa"/>
            </w:tcMar>
          </w:tcPr>
          <w:p>
            <w:pPr>
              <w:spacing w:after="40"/>
            </w:pPr>
            <w:r>
              <w:rPr>
                <w:rFonts w:ascii="Times New Roman" w:hAnsi="Times New Roman"/>
                <w:color w:val="141414"/>
                <w:sz w:val="19"/>
              </w:rPr>
              <w:t>Usar Abstract Factory en pasarelas de pago.</w:t>
            </w:r>
          </w:p>
        </w:tc>
        <w:tc>
          <w:tcPr>
            <w:tcW w:type="dxa" w:w="2340"/>
            <w:shd w:val="clear" w:color="auto" w:fill="F9FAFC"/>
            <w:tcMar>
              <w:top w:w="50" w:type="dxa"/>
              <w:bottom w:w="50" w:type="dxa"/>
              <w:left w:w="60" w:type="dxa"/>
              <w:right w:w="60" w:type="dxa"/>
            </w:tcMar>
          </w:tcPr>
          <w:p>
            <w:pPr>
              <w:spacing w:after="40"/>
            </w:pPr>
            <w:r>
              <w:rPr>
                <w:rFonts w:ascii="Times New Roman" w:hAnsi="Times New Roman"/>
                <w:color w:val="141414"/>
                <w:sz w:val="19"/>
              </w:rPr>
              <w:t>No existen múltiples familias abstractas.</w:t>
            </w:r>
          </w:p>
        </w:tc>
        <w:tc>
          <w:tcPr>
            <w:tcW w:type="dxa" w:w="2340"/>
            <w:shd w:val="clear" w:color="auto" w:fill="F9FAFC"/>
            <w:tcMar>
              <w:top w:w="50" w:type="dxa"/>
              <w:bottom w:w="50" w:type="dxa"/>
              <w:left w:w="60" w:type="dxa"/>
              <w:right w:w="60" w:type="dxa"/>
            </w:tcMar>
          </w:tcPr>
          <w:p>
            <w:pPr>
              <w:spacing w:after="40"/>
            </w:pPr>
            <w:r>
              <w:rPr>
                <w:rFonts w:ascii="Times New Roman" w:hAnsi="Times New Roman"/>
                <w:b/>
                <w:color w:val="141414"/>
                <w:sz w:val="19"/>
              </w:rPr>
              <w:t>Ajustado a Factory Method + Adapter.</w:t>
            </w:r>
          </w:p>
        </w:tc>
      </w:tr>
      <w:tr>
        <w:tc>
          <w:tcPr>
            <w:tcW w:type="dxa" w:w="2340"/>
            <w:shd w:val="clear" w:color="auto" w:fill="FFFFFF"/>
            <w:tcMar>
              <w:top w:w="50" w:type="dxa"/>
              <w:bottom w:w="50" w:type="dxa"/>
              <w:left w:w="60" w:type="dxa"/>
              <w:right w:w="60" w:type="dxa"/>
            </w:tcMar>
          </w:tcPr>
          <w:p>
            <w:pPr>
              <w:spacing w:after="40"/>
            </w:pPr>
            <w:r>
              <w:rPr>
                <w:rFonts w:ascii="Times New Roman" w:hAnsi="Times New Roman"/>
                <w:b/>
                <w:color w:val="141414"/>
                <w:sz w:val="19"/>
              </w:rPr>
              <w:t>AG-09 · Reto</w:t>
            </w:r>
          </w:p>
        </w:tc>
        <w:tc>
          <w:tcPr>
            <w:tcW w:type="dxa" w:w="2340"/>
            <w:shd w:val="clear" w:color="auto" w:fill="FFFFFF"/>
            <w:tcMar>
              <w:top w:w="50" w:type="dxa"/>
              <w:bottom w:w="50" w:type="dxa"/>
              <w:left w:w="60" w:type="dxa"/>
              <w:right w:w="60" w:type="dxa"/>
            </w:tcMar>
          </w:tcPr>
          <w:p>
            <w:pPr>
              <w:spacing w:after="40"/>
            </w:pPr>
            <w:r>
              <w:rPr>
                <w:rFonts w:ascii="Times New Roman" w:hAnsi="Times New Roman"/>
                <w:color w:val="141414"/>
                <w:sz w:val="19"/>
              </w:rPr>
              <w:t>Crear Proxy de caché en memoria para cupos.</w:t>
            </w:r>
          </w:p>
        </w:tc>
        <w:tc>
          <w:tcPr>
            <w:tcW w:type="dxa" w:w="2340"/>
            <w:shd w:val="clear" w:color="auto" w:fill="FFFFFF"/>
            <w:tcMar>
              <w:top w:w="50" w:type="dxa"/>
              <w:bottom w:w="50" w:type="dxa"/>
              <w:left w:w="60" w:type="dxa"/>
              <w:right w:w="60" w:type="dxa"/>
            </w:tcMar>
          </w:tcPr>
          <w:p>
            <w:pPr>
              <w:spacing w:after="40"/>
            </w:pPr>
            <w:r>
              <w:rPr>
                <w:rFonts w:ascii="Times New Roman" w:hAnsi="Times New Roman"/>
                <w:color w:val="141414"/>
                <w:sz w:val="19"/>
              </w:rPr>
              <w:t>Caso clásico de paternite; riesgo de sobreventa.</w:t>
            </w:r>
          </w:p>
        </w:tc>
        <w:tc>
          <w:tcPr>
            <w:tcW w:type="dxa" w:w="2340"/>
            <w:shd w:val="clear" w:color="auto" w:fill="FFFFFF"/>
            <w:tcMar>
              <w:top w:w="50" w:type="dxa"/>
              <w:bottom w:w="50" w:type="dxa"/>
              <w:left w:w="60" w:type="dxa"/>
              <w:right w:w="60" w:type="dxa"/>
            </w:tcMar>
          </w:tcPr>
          <w:p>
            <w:pPr>
              <w:spacing w:after="40"/>
            </w:pPr>
            <w:r>
              <w:rPr>
                <w:rFonts w:ascii="Times New Roman" w:hAnsi="Times New Roman"/>
                <w:b/>
                <w:color w:val="141414"/>
                <w:sz w:val="19"/>
              </w:rPr>
              <w:t>Rechazado. Resuelto con índice en BD y HTTP Cache.</w:t>
            </w:r>
          </w:p>
        </w:tc>
      </w:tr>
    </w:tbl>
    <w:p>
      <w:pPr>
        <w:keepNext/>
        <w:spacing w:before="400" w:after="120"/>
      </w:pPr>
      <w:r>
        <w:rPr>
          <w:rFonts w:ascii="Times New Roman" w:hAnsi="Times New Roman"/>
          <w:b/>
          <w:color w:val="0B3D62"/>
          <w:sz w:val="32"/>
        </w:rPr>
        <w:t>7. Respuestas Argumentadas para la Evaluación Docente</w:t>
      </w:r>
    </w:p>
    <w:p>
      <w:pPr>
        <w:spacing w:after="120" w:line="276" w:lineRule="auto"/>
        <w:jc w:val="both"/>
      </w:pPr>
      <w:r>
        <w:rPr>
          <w:rFonts w:ascii="Times New Roman" w:hAnsi="Times New Roman"/>
          <w:i w:val="0"/>
          <w:color w:val="141414"/>
          <w:sz w:val="24"/>
        </w:rPr>
        <w:t>1. ¿Por qué RutaColca aparece como una sola caja en el contexto y como un límite con contenedores en el siguiente nivel?</w:t>
        <w:br/>
        <w:t>Porque atienden a propósitos y audiencias diferentes. El contexto oculta los detalles técnicos para dialogar con gerentes de agencias y autoridades de turismo. El diagrama de contenedores hace un zoom in para el equipo técnico, mostrando las piezas ejecutables (SPA, PWA, API Spring Boot, PostgreSQL) y los protocolos de integración.</w:t>
        <w:br/>
        <w:br/>
        <w:t>2. ¿Qué diagrama le mostrarían a la gerente de una agencia y cuál al equipo de operaciones?</w:t>
        <w:br/>
        <w:t>A la gerente le mostraríamos el Diagrama de Contexto (Nivel 1), que explica qué servicios ofrece la plataforma y cómo se conecta sin jerga técnica. Al equipo de operaciones le mostraríamos el Diagrama de Despliegue, que detalla las máquinas virtuales, balanceadores y base de datos gestionada.</w:t>
        <w:br/>
        <w:br/>
        <w:t>3. ¿Qué propuesta de la IA rechazaron y qué regla de C4 usaron para hacerlo?</w:t>
        <w:br/>
        <w:t>Rechazamos la propuesta de considerar a Docker como contenedor C4. Aplicamos la regla oficial de Simon Brown: 'un contenedor C4 es una aplicación o almacén de datos propio, no una tecnología de virtualización de infraestructura'.</w:t>
        <w:br/>
        <w:br/>
        <w:t>4. ¿Qué cambió en su modelo al resolver el reto sin conexión y en qué diagramas se nota?</w:t>
        <w:br/>
        <w:t>Se agregó el contenedor de datos local IndexedDB dentro del Portal PWA y relaciones de sincronización por lotes. Se refleja en la vista ContenedoresReto y en el Diagrama de Despliegue dentro del nodo Tablet de Agencia.</w:t>
        <w:br/>
        <w:br/>
        <w:t>5. Ticket de salida de Patrones: Un banco nuevo ofrece pagos con su propia API. ¿Qué patrón usaría y qué clase crearía?</w:t>
        <w:br/>
        <w:t>Usaríamos el patrón Adaptador (Adapter) creando una nueva clase concreta, por ejemplo BancoNuevoAdapter, que implemente la interfaz PasarelaPago y traduzca las llamadas hacia el SDK del banco, respetando el principio Abierto/Cerrado (OCP).</w:t>
      </w:r>
    </w:p>
    <w:p>
      <w:pPr>
        <w:keepNext/>
        <w:spacing w:before="400" w:after="120"/>
      </w:pPr>
      <w:r>
        <w:rPr>
          <w:rFonts w:ascii="Times New Roman" w:hAnsi="Times New Roman"/>
          <w:b/>
          <w:color w:val="0B3D62"/>
          <w:sz w:val="32"/>
        </w:rPr>
        <w:t>8. Conclusiones y Referencias Bibliográficas</w:t>
      </w:r>
    </w:p>
    <w:p>
      <w:pPr>
        <w:spacing w:after="120" w:line="276" w:lineRule="auto"/>
        <w:jc w:val="both"/>
      </w:pPr>
      <w:r>
        <w:rPr>
          <w:rFonts w:ascii="Times New Roman" w:hAnsi="Times New Roman"/>
          <w:b/>
          <w:color w:val="141414"/>
          <w:sz w:val="24"/>
        </w:rPr>
        <w:t xml:space="preserve">• </w:t>
      </w:r>
      <w:r>
        <w:rPr>
          <w:rFonts w:ascii="Times New Roman" w:hAnsi="Times New Roman"/>
          <w:i w:val="0"/>
          <w:color w:val="141414"/>
          <w:sz w:val="24"/>
        </w:rPr>
        <w:t>1. Continuidad entre arquitectura y diseño: El modelo C4 proporcionó la visión macroscópica del sistema, mientras que los patrones GoF estructuraron las clases internas garantizando bajo acoplamiento y alta cohesión.</w:t>
      </w:r>
    </w:p>
    <w:p>
      <w:pPr>
        <w:spacing w:after="120" w:line="276" w:lineRule="auto"/>
        <w:jc w:val="both"/>
      </w:pPr>
      <w:r>
        <w:rPr>
          <w:rFonts w:ascii="Times New Roman" w:hAnsi="Times New Roman"/>
          <w:b/>
          <w:color w:val="141414"/>
          <w:sz w:val="24"/>
        </w:rPr>
        <w:t xml:space="preserve">• </w:t>
      </w:r>
      <w:r>
        <w:rPr>
          <w:rFonts w:ascii="Times New Roman" w:hAnsi="Times New Roman"/>
          <w:i w:val="0"/>
          <w:color w:val="141414"/>
          <w:sz w:val="24"/>
        </w:rPr>
        <w:t>2. Sentido crítico frente a la 'paternite': El verdadero mérito del diseño no radica en sobrecargar el código con patrones, sino en discernir cuándo la infraestructura relacional nativa es más simple y robusta.</w:t>
      </w:r>
    </w:p>
    <w:p>
      <w:pPr>
        <w:spacing w:after="120" w:line="276" w:lineRule="auto"/>
        <w:jc w:val="both"/>
      </w:pPr>
      <w:r>
        <w:rPr>
          <w:rFonts w:ascii="Times New Roman" w:hAnsi="Times New Roman"/>
          <w:b/>
          <w:color w:val="141414"/>
          <w:sz w:val="24"/>
        </w:rPr>
        <w:t xml:space="preserve">• </w:t>
      </w:r>
      <w:r>
        <w:rPr>
          <w:rFonts w:ascii="Times New Roman" w:hAnsi="Times New Roman"/>
          <w:i w:val="0"/>
          <w:color w:val="141414"/>
          <w:sz w:val="24"/>
        </w:rPr>
        <w:t>3. Trazabilidad con Diagramas como Código: Structurizr DSL y PlantUML aseguran que la documentación viva evolucione al ritmo del código sin desincronizaciones.</w:t>
      </w:r>
    </w:p>
    <w:p>
      <w:pPr>
        <w:keepNext/>
        <w:spacing w:before="280" w:after="80"/>
      </w:pPr>
      <w:r>
        <w:rPr>
          <w:rFonts w:ascii="Times New Roman" w:hAnsi="Times New Roman"/>
          <w:b/>
          <w:color w:val="1B5E8B"/>
          <w:sz w:val="27"/>
        </w:rPr>
        <w:t>Referencias Bibliográficas (Norma APA 7ma Edición)</w:t>
      </w:r>
    </w:p>
    <w:p>
      <w:pPr>
        <w:spacing w:after="120" w:line="276" w:lineRule="auto"/>
        <w:jc w:val="both"/>
      </w:pPr>
      <w:r>
        <w:rPr>
          <w:rFonts w:ascii="Times New Roman" w:hAnsi="Times New Roman"/>
          <w:i w:val="0"/>
          <w:color w:val="141414"/>
          <w:sz w:val="24"/>
        </w:rPr>
        <w:t>Bass, L., Clements, P., &amp; Kazman, R. (2021). Software architecture in practice (4th ed.). Addison-Wesley.</w:t>
      </w:r>
    </w:p>
    <w:p>
      <w:pPr>
        <w:spacing w:after="120" w:line="276" w:lineRule="auto"/>
        <w:jc w:val="both"/>
      </w:pPr>
      <w:r>
        <w:rPr>
          <w:rFonts w:ascii="Times New Roman" w:hAnsi="Times New Roman"/>
          <w:i w:val="0"/>
          <w:color w:val="141414"/>
          <w:sz w:val="24"/>
        </w:rPr>
        <w:t>Brown, S. (2026). The C4 model for visualising software architecture. O’Reilly Media / c4model.com.</w:t>
      </w:r>
    </w:p>
    <w:p>
      <w:pPr>
        <w:spacing w:after="120" w:line="276" w:lineRule="auto"/>
        <w:jc w:val="both"/>
      </w:pPr>
      <w:r>
        <w:rPr>
          <w:rFonts w:ascii="Times New Roman" w:hAnsi="Times New Roman"/>
          <w:i w:val="0"/>
          <w:color w:val="141414"/>
          <w:sz w:val="24"/>
        </w:rPr>
        <w:t>Gamma, E., Helm, R., Johnson, R., &amp; Vlissides, J. (1994). Design patterns: Elements of reusable object-oriented software. Addison-Wesley.</w:t>
      </w:r>
    </w:p>
    <w:p>
      <w:pPr>
        <w:spacing w:after="120" w:line="276" w:lineRule="auto"/>
        <w:jc w:val="both"/>
      </w:pPr>
      <w:r>
        <w:rPr>
          <w:rFonts w:ascii="Times New Roman" w:hAnsi="Times New Roman"/>
          <w:i w:val="0"/>
          <w:color w:val="141414"/>
          <w:sz w:val="24"/>
        </w:rPr>
        <w:t>ISO/IEC/IEEE. (2022). ISO/IEC/IEEE 42010:2022 Software, systems and enterprise — Architecture description. International Organization for Standardization.</w:t>
      </w:r>
    </w:p>
    <w:p>
      <w:pPr>
        <w:spacing w:after="120" w:line="276" w:lineRule="auto"/>
        <w:jc w:val="both"/>
      </w:pPr>
      <w:r>
        <w:rPr>
          <w:rFonts w:ascii="Times New Roman" w:hAnsi="Times New Roman"/>
          <w:i w:val="0"/>
          <w:color w:val="141414"/>
          <w:sz w:val="24"/>
        </w:rPr>
        <w:t>Ousterhout, J. (2018). A philosophy of software design. Yaknyam Press.</w:t>
      </w:r>
    </w:p>
    <w:p>
      <w:pPr>
        <w:spacing w:after="120" w:line="276" w:lineRule="auto"/>
        <w:jc w:val="both"/>
      </w:pPr>
      <w:r>
        <w:rPr>
          <w:rFonts w:ascii="Times New Roman" w:hAnsi="Times New Roman"/>
          <w:i w:val="0"/>
          <w:color w:val="141414"/>
          <w:sz w:val="24"/>
        </w:rPr>
        <w:t>Valente, M. T. (2020). Engenharia de software moderna (cap. 5: Princípios de projeto; cap. 6: Padrões de projeto). Independente. https://engsoftmoderna.info/</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18"/>
      </w:rPr>
      <w:t>Construcción de Software (2026-B) · EPIS UNSA | Caso RutaColca (AG-08 / AG-09)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