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2E5C9A"/>
          <w:spacing w:val="40"/>
          <w:sz w:val="18"/>
          <w:szCs w:val="18"/>
        </w:rPr>
        <w:t xml:space="preserve">DOCUMENTO 02</w:t>
      </w:r>
    </w:p>
    <w:p>
      <w:pPr>
        <w:pBdr>
          <w:bottom w:val="single" w:color="2E5C9A" w:sz="12" w:space="8"/>
        </w:pBdr>
        <w:spacing w:after="160" w:before="0" w:line="320"/>
      </w:pPr>
      <w:r>
        <w:rPr>
          <w:b/>
          <w:bCs/>
          <w:color w:val="1F3A5F"/>
          <w:sz w:val="40"/>
          <w:szCs w:val="40"/>
        </w:rPr>
        <w:t xml:space="preserve">Contratos de API, códigos HTTP y modelo de errores</w:t>
      </w:r>
    </w:p>
    <w:p>
      <w:pPr>
        <w:spacing w:after="120"/>
      </w:pPr>
    </w:p>
    <w:p>
      <w:pPr>
        <w:pStyle w:val="Heading1"/>
      </w:pPr>
      <w:r>
        <w:rPr>
          <w:b w:val="false"/>
          <w:bCs w:val="false"/>
          <w:sz w:val="21"/>
          <w:szCs w:val="21"/>
        </w:rPr>
        <w:t xml:space="preserve">1. Endpoints</w:t>
      </w:r>
    </w:p>
    <w:p>
      <w:pPr>
        <w:pStyle w:val="Heading2"/>
      </w:pPr>
      <w:r>
        <w:rPr>
          <w:b w:val="false"/>
          <w:bCs w:val="false"/>
          <w:sz w:val="21"/>
          <w:szCs w:val="21"/>
        </w:rPr>
        <w:t xml:space="preserve">POST /v1/nominations</w:t>
      </w:r>
    </w:p>
    <w:p>
      <w:pPr>
        <w:spacing w:after="120" w:before="0" w:line="288"/>
      </w:pPr>
      <w:r>
        <w:rPr>
          <w:b w:val="false"/>
          <w:bCs w:val="false"/>
          <w:sz w:val="21"/>
          <w:szCs w:val="21"/>
        </w:rPr>
        <w:t xml:space="preserve">Crea una solicitud de nominación. </w:t>
      </w:r>
      <w:r>
        <w:rPr>
          <w:b/>
          <w:bCs/>
          <w:sz w:val="21"/>
          <w:szCs w:val="21"/>
        </w:rPr>
        <w:t xml:space="preserve">Asincrónico</w:t>
      </w:r>
      <w:r>
        <w:rPr>
          <w:b w:val="false"/>
          <w:bCs w:val="false"/>
          <w:sz w:val="21"/>
          <w:szCs w:val="21"/>
        </w:rPr>
        <w:t xml:space="preserve">: acepta y responde sin esperar a ABM.</w:t>
      </w:r>
    </w:p>
    <w:p>
      <w:pPr>
        <w:spacing w:after="120" w:before="0" w:line="288"/>
      </w:pPr>
      <w:r>
        <w:rPr>
          <w:b w:val="false"/>
          <w:bCs w:val="false"/>
          <w:sz w:val="21"/>
          <w:szCs w:val="21"/>
        </w:rPr>
        <w:t xml:space="preserve">Cabeceras: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9"/>
        <w:gridCol w:w="1514"/>
        <w:gridCol w:w="4505"/>
      </w:tblGrid>
      <w:tr>
        <w:trPr>
          <w:cantSplit/>
          <w:tblHeader/>
        </w:trPr>
        <w:tc>
          <w:tcPr>
            <w:tcW w:type="dxa" w:w="36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Cabecera</w:t>
            </w:r>
          </w:p>
        </w:tc>
        <w:tc>
          <w:tcPr>
            <w:tcW w:type="dxa" w:w="15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Requerida</w:t>
            </w:r>
          </w:p>
        </w:tc>
        <w:tc>
          <w:tcPr>
            <w:tcW w:type="dxa" w:w="45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  <w:tblHeader w:val="false"/>
        </w:trPr>
        <w:tc>
          <w:tcPr>
            <w:tcW w:type="dxa" w:w="36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1F5F9" w:color="auto" w:val="clear"/>
              </w:rPr>
              <w:t xml:space="preserve">Authorization: Bearer &lt;token&gt;</w:t>
            </w:r>
          </w:p>
        </w:tc>
        <w:tc>
          <w:tcPr>
            <w:tcW w:type="dxa" w:w="15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45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Autenticación</w:t>
            </w:r>
          </w:p>
        </w:tc>
      </w:tr>
      <w:tr>
        <w:trPr>
          <w:cantSplit/>
          <w:tblHeader w:val="false"/>
        </w:trPr>
        <w:tc>
          <w:tcPr>
            <w:tcW w:type="dxa" w:w="36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1F5F9" w:color="auto" w:val="clear"/>
              </w:rPr>
              <w:t xml:space="preserve">Content-Type: application/json</w:t>
            </w:r>
          </w:p>
        </w:tc>
        <w:tc>
          <w:tcPr>
            <w:tcW w:type="dxa" w:w="15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Sí</w:t>
            </w:r>
          </w:p>
        </w:tc>
        <w:tc>
          <w:tcPr>
            <w:tcW w:type="dxa" w:w="45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36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1F5F9" w:color="auto" w:val="clear"/>
              </w:rPr>
              <w:t xml:space="preserve">Idempotency-Key</w:t>
            </w:r>
          </w:p>
        </w:tc>
        <w:tc>
          <w:tcPr>
            <w:tcW w:type="dxa" w:w="15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No*</w:t>
            </w:r>
          </w:p>
        </w:tc>
        <w:tc>
          <w:tcPr>
            <w:tcW w:type="dxa" w:w="45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Clave de idempotencia de ingreso (*si falta se usa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1F5F9" w:color="auto" w:val="clear"/>
              </w:rPr>
              <w:t xml:space="preserve">request_id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36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1F5F9" w:color="auto" w:val="clear"/>
              </w:rPr>
              <w:t xml:space="preserve">X-Correlation-Id</w:t>
            </w:r>
          </w:p>
        </w:tc>
        <w:tc>
          <w:tcPr>
            <w:tcW w:type="dxa" w:w="15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45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 genera uno si no viene; viaja en logs, trazas y evento</w:t>
            </w:r>
          </w:p>
        </w:tc>
      </w:tr>
    </w:tbl>
    <w:p>
      <w:pPr>
        <w:spacing w:after="160" w:before="0"/>
      </w:pPr>
    </w:p>
    <w:p>
      <w:pPr>
        <w:spacing w:after="120" w:before="0" w:line="288"/>
      </w:pPr>
      <w:r>
        <w:rPr>
          <w:b w:val="false"/>
          <w:bCs w:val="false"/>
          <w:sz w:val="21"/>
          <w:szCs w:val="21"/>
        </w:rPr>
        <w:t xml:space="preserve">Cuerpo: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10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{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"customer_id": "123456",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"account_id": "987654",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"card_id": "TOKEN_OR_MASKED_REFERENCE",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"alias": "CUENTA_PRINCIPAL",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"request_id": "8fcb3fa0-7f19-4fc2-a803-cc76ac815001"</w:t>
      </w:r>
    </w:p>
    <w:p>
      <w:pPr>
        <w:keepLines/>
        <w:pBdr>
          <w:left w:val="single" w:color="2E5C9A" w:sz="18" w:space="6"/>
        </w:pBdr>
        <w:shd w:fill="F1F5F9" w:color="auto" w:val="clear"/>
        <w:spacing w:after="18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</w:t>
      </w:r>
    </w:p>
    <w:p>
      <w:pPr>
        <w:spacing w:after="120" w:before="0" w:line="288"/>
      </w:pPr>
      <w:r>
        <w:rPr>
          <w:b w:val="false"/>
          <w:bCs w:val="false"/>
          <w:sz w:val="21"/>
          <w:szCs w:val="21"/>
        </w:rPr>
        <w:t xml:space="preserve">Validaciones (E2):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customer_id</w:t>
      </w:r>
      <w:r>
        <w:rPr>
          <w:b w:val="false"/>
          <w:b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account_id</w:t>
      </w:r>
      <w:r>
        <w:rPr>
          <w:b w:val="false"/>
          <w:b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card_id</w:t>
      </w:r>
      <w:r>
        <w:rPr>
          <w:b w:val="false"/>
          <w:b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alias</w:t>
      </w:r>
      <w:r>
        <w:rPr>
          <w:b w:val="false"/>
          <w:bCs w:val="false"/>
          <w:sz w:val="21"/>
          <w:szCs w:val="21"/>
        </w:rPr>
        <w:t xml:space="preserve"> no nulos ni vacíos;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alias</w:t>
      </w:r>
      <w:r>
        <w:rPr>
          <w:b w:val="false"/>
          <w:bCs w:val="false"/>
          <w:sz w:val="21"/>
          <w:szCs w:val="21"/>
        </w:rPr>
        <w:t xml:space="preserve"> con patrón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^[A-Z0-9_]+$</w:t>
      </w:r>
      <w:r>
        <w:rPr>
          <w:b w:val="false"/>
          <w:bCs w:val="false"/>
          <w:sz w:val="21"/>
          <w:szCs w:val="21"/>
        </w:rPr>
        <w:t xml:space="preserve">;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request_id</w:t>
      </w:r>
      <w:r>
        <w:rPr>
          <w:b w:val="false"/>
          <w:bCs w:val="false"/>
          <w:sz w:val="21"/>
          <w:szCs w:val="21"/>
        </w:rPr>
        <w:t xml:space="preserve"> UUID válido; longitudes máximas por campo.</w:t>
      </w:r>
    </w:p>
    <w:p>
      <w:pPr>
        <w:spacing w:after="120" w:before="0" w:line="288"/>
      </w:pPr>
      <w:r>
        <w:rPr>
          <w:b w:val="false"/>
          <w:bCs w:val="false"/>
          <w:sz w:val="21"/>
          <w:szCs w:val="21"/>
        </w:rPr>
        <w:t xml:space="preserve">Respuesta </w:t>
      </w:r>
      <w:r>
        <w:rPr>
          <w:b/>
          <w:bCs/>
          <w:sz w:val="21"/>
          <w:szCs w:val="21"/>
        </w:rPr>
        <w:t xml:space="preserve">202 Accepted</w:t>
      </w:r>
      <w:r>
        <w:rPr>
          <w:b w:val="false"/>
          <w:bCs w:val="false"/>
          <w:sz w:val="21"/>
          <w:szCs w:val="21"/>
        </w:rPr>
        <w:t xml:space="preserve">: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10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{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"nomination_id": "b1e2...",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"request_id": "8fcb3fa0-7f19-4fc2-a803-cc76ac815001",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"status": "RECEIVED",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"created_at": "2026-10-11T23:25:47Z",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"status_url": "/v1/nominations/b1e2...",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"message": "Solicitud aceptada para procesamiento asincronico."</w:t>
      </w:r>
    </w:p>
    <w:p>
      <w:pPr>
        <w:keepLines/>
        <w:pBdr>
          <w:left w:val="single" w:color="2E5C9A" w:sz="18" w:space="6"/>
        </w:pBdr>
        <w:shd w:fill="F1F5F9" w:color="auto" w:val="clear"/>
        <w:spacing w:after="18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</w:t>
      </w:r>
    </w:p>
    <w:p>
      <w:pPr>
        <w:spacing w:after="120" w:before="0" w:line="288"/>
      </w:pPr>
      <w:r>
        <w:rPr>
          <w:b w:val="false"/>
          <w:bCs w:val="false"/>
          <w:sz w:val="21"/>
          <w:szCs w:val="21"/>
        </w:rPr>
        <w:t xml:space="preserve">Cabeceras de respuesta: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Location</w:t>
      </w:r>
      <w:r>
        <w:rPr>
          <w:b w:val="false"/>
          <w:b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X-Correlation-Id</w:t>
      </w:r>
      <w:r>
        <w:rPr>
          <w:b w:val="false"/>
          <w:b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X-Request-Id</w:t>
      </w:r>
      <w:r>
        <w:rPr>
          <w:b w:val="false"/>
          <w:bCs w:val="false"/>
          <w:sz w:val="21"/>
          <w:szCs w:val="21"/>
        </w:rPr>
        <w:t xml:space="preserve">.</w:t>
      </w:r>
    </w:p>
    <w:p>
      <w:pPr>
        <w:pStyle w:val="Heading2"/>
      </w:pPr>
      <w:r>
        <w:rPr>
          <w:b w:val="false"/>
          <w:bCs w:val="false"/>
          <w:sz w:val="21"/>
          <w:szCs w:val="21"/>
        </w:rPr>
        <w:t xml:space="preserve">GET /v1/nominations/{nominationId}</w:t>
      </w:r>
    </w:p>
    <w:p>
      <w:pPr>
        <w:spacing w:after="120" w:before="0" w:line="288"/>
      </w:pPr>
      <w:r>
        <w:rPr>
          <w:b w:val="false"/>
          <w:bCs w:val="false"/>
          <w:sz w:val="21"/>
          <w:szCs w:val="21"/>
        </w:rPr>
        <w:t xml:space="preserve">Estado actual (200). Todos los identificadores sensibles van enmascarados: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10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{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"nomination_id": "b1e2...",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"customer_id": "123456",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"account_mask": "****7654",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"card_mask": "****ENCE",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"alias": "CUENTA_PRINCIPAL",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"status": "APPROVED",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"result": "APPROVED",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"reason_code": null,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"reason_message": null,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"attempts": 1,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"correlation_id": "corr-demo-1",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"created_at": "2026-10-11T23:25:47Z",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"updated_at": "2026-10-11T23:25:49Z",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"completed_at": "2026-10-11T23:25:49Z",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"history_url": "/v1/nominations/b1e2.../history"</w:t>
      </w:r>
    </w:p>
    <w:p>
      <w:pPr>
        <w:keepLines/>
        <w:pBdr>
          <w:left w:val="single" w:color="2E5C9A" w:sz="18" w:space="6"/>
        </w:pBdr>
        <w:shd w:fill="F1F5F9" w:color="auto" w:val="clear"/>
        <w:spacing w:after="18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</w:t>
      </w:r>
    </w:p>
    <w:p>
      <w:pPr>
        <w:pStyle w:val="Heading2"/>
      </w:pPr>
      <w:r>
        <w:rPr>
          <w:b w:val="false"/>
          <w:bCs w:val="false"/>
          <w:sz w:val="21"/>
          <w:szCs w:val="21"/>
        </w:rPr>
        <w:t xml:space="preserve">GET /v1/nominations/{nominationId}/history</w:t>
      </w:r>
    </w:p>
    <w:p>
      <w:pPr>
        <w:spacing w:after="120" w:before="0" w:line="288"/>
      </w:pPr>
      <w:r>
        <w:rPr>
          <w:b w:val="false"/>
          <w:bCs w:val="false"/>
          <w:sz w:val="21"/>
          <w:szCs w:val="21"/>
        </w:rPr>
        <w:t xml:space="preserve">Historial de cambios de estado (200):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10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{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"nomination_id": "b1e2...",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"correlation_id": "corr-demo-1",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"entries": [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{"from_status": null, "to_status": "RECEIVED", "actor": "API", "occurred_at": "..."},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{"from_status": "RECEIVED", "to_status": "SENT_TO_ABM", "actor": "WORKER", "occurred_at": "..."},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{"from_status": "SENT_TO_ABM", "to_status": "APPROVED", "actor": "ABM", "occurred_at": "..."}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]</w:t>
      </w:r>
    </w:p>
    <w:p>
      <w:pPr>
        <w:keepLines/>
        <w:pBdr>
          <w:left w:val="single" w:color="2E5C9A" w:sz="18" w:space="6"/>
        </w:pBdr>
        <w:shd w:fill="F1F5F9" w:color="auto" w:val="clear"/>
        <w:spacing w:after="18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</w:t>
      </w:r>
    </w:p>
    <w:p>
      <w:pPr>
        <w:pStyle w:val="Heading1"/>
      </w:pPr>
      <w:r>
        <w:rPr>
          <w:b w:val="false"/>
          <w:bCs w:val="false"/>
          <w:sz w:val="21"/>
          <w:szCs w:val="21"/>
        </w:rPr>
        <w:t xml:space="preserve">2. Códigos HTTP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478"/>
      </w:tblGrid>
      <w:tr>
        <w:trPr>
          <w:cantSplit/>
          <w:tblHeader/>
        </w:trPr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74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Cuándo</w:t>
            </w:r>
          </w:p>
        </w:tc>
      </w:tr>
      <w:tr>
        <w:trPr>
          <w:cantSplit/>
          <w:tblHeader w:val="false"/>
        </w:trPr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202</w:t>
            </w:r>
          </w:p>
        </w:tc>
        <w:tc>
          <w:tcPr>
            <w:tcW w:type="dxa" w:w="74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Solicitud aceptada (creación) o replay idempotente</w:t>
            </w:r>
          </w:p>
        </w:tc>
      </w:tr>
      <w:tr>
        <w:trPr>
          <w:cantSplit/>
          <w:tblHeader w:val="false"/>
        </w:trPr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200</w:t>
            </w:r>
          </w:p>
        </w:tc>
        <w:tc>
          <w:tcPr>
            <w:tcW w:type="dxa" w:w="74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Consulta exitosa</w:t>
            </w:r>
          </w:p>
        </w:tc>
      </w:tr>
      <w:tr>
        <w:trPr>
          <w:cantSplit/>
          <w:tblHeader w:val="false"/>
        </w:trPr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74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Validación o formato inválido (E2)</w:t>
            </w:r>
          </w:p>
        </w:tc>
      </w:tr>
      <w:tr>
        <w:trPr>
          <w:cantSplit/>
          <w:tblHeader w:val="false"/>
        </w:trPr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401</w:t>
            </w:r>
          </w:p>
        </w:tc>
        <w:tc>
          <w:tcPr>
            <w:tcW w:type="dxa" w:w="74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El token falta o es inválido</w:t>
            </w:r>
          </w:p>
        </w:tc>
      </w:tr>
      <w:tr>
        <w:trPr>
          <w:cantSplit/>
          <w:tblHeader w:val="false"/>
        </w:trPr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403</w:t>
            </w:r>
          </w:p>
        </w:tc>
        <w:tc>
          <w:tcPr>
            <w:tcW w:type="dxa" w:w="74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Usuario autenticado sin autorización</w:t>
            </w:r>
          </w:p>
        </w:tc>
      </w:tr>
      <w:tr>
        <w:trPr>
          <w:cantSplit/>
          <w:tblHeader w:val="false"/>
        </w:trPr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404</w:t>
            </w:r>
          </w:p>
        </w:tc>
        <w:tc>
          <w:tcPr>
            <w:tcW w:type="dxa" w:w="74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Nominación inexistente</w:t>
            </w:r>
          </w:p>
        </w:tc>
      </w:tr>
      <w:tr>
        <w:trPr>
          <w:cantSplit/>
          <w:tblHeader w:val="false"/>
        </w:trPr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409</w:t>
            </w:r>
          </w:p>
        </w:tc>
        <w:tc>
          <w:tcPr>
            <w:tcW w:type="dxa" w:w="74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1F5F9" w:color="auto" w:val="clear"/>
              </w:rPr>
              <w:t xml:space="preserve">IDEMPOTENCY_CONFLICT</w:t>
            </w:r>
            <w:r>
              <w:rPr>
                <w:b w:val="false"/>
                <w:bCs w:val="false"/>
                <w:sz w:val="19"/>
                <w:szCs w:val="19"/>
              </w:rPr>
              <w:t xml:space="preserve">: misma clave con cuerpo distinto</w:t>
            </w:r>
          </w:p>
        </w:tc>
      </w:tr>
      <w:tr>
        <w:trPr>
          <w:cantSplit/>
          <w:tblHeader w:val="false"/>
        </w:trPr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429</w:t>
            </w:r>
          </w:p>
        </w:tc>
        <w:tc>
          <w:tcPr>
            <w:tcW w:type="dxa" w:w="74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Rate limit</w:t>
            </w:r>
          </w:p>
        </w:tc>
      </w:tr>
      <w:tr>
        <w:trPr>
          <w:cantSplit/>
          <w:tblHeader w:val="false"/>
        </w:trPr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74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Error interno (con </w:t>
            </w:r>
            <w:r>
              <w:rPr>
                <w:rFonts w:ascii="Consolas" w:cs="Consolas" w:eastAsia="Consolas" w:hAnsi="Consolas"/>
                <w:color w:val="9F1239"/>
                <w:sz w:val="17"/>
                <w:szCs w:val="17"/>
                <w:shd w:fill="F1F5F9" w:color="auto" w:val="clear"/>
              </w:rPr>
              <w:t xml:space="preserve">correlationId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</w:tbl>
    <w:p>
      <w:pPr>
        <w:spacing w:after="160" w:before="0"/>
      </w:pPr>
    </w:p>
    <w:p>
      <w:pPr>
        <w:pStyle w:val="Heading1"/>
      </w:pPr>
      <w:r>
        <w:rPr>
          <w:b w:val="false"/>
          <w:bCs w:val="false"/>
          <w:sz w:val="21"/>
          <w:szCs w:val="21"/>
        </w:rPr>
        <w:t xml:space="preserve">3. Modelo de error (estable, sin datos sensibles)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10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{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"timestamp": "2026-10-11T23:25:47Z",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"status": 400,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"code": "MISSING_FIELD",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"message": "La solicitud contiene datos invalidos.",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"path": "/v1/nominations",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"correlationId": "corr-demo-1",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"errors": [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  {"field": "customer_id", "code": "MISSING_FIELD", "message": "customer_id es obligatorio"}</w:t>
      </w:r>
    </w:p>
    <w:p>
      <w:pPr>
        <w:keepLines/>
        <w:pBdr>
          <w:left w:val="single" w:color="2E5C9A" w:sz="18" w:space="6"/>
        </w:pBdr>
        <w:shd w:fill="F1F5F9" w:color="auto" w:val="clear"/>
        <w:spacing w:after="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  ]</w:t>
      </w:r>
    </w:p>
    <w:p>
      <w:pPr>
        <w:keepLines/>
        <w:pBdr>
          <w:left w:val="single" w:color="2E5C9A" w:sz="18" w:space="6"/>
        </w:pBdr>
        <w:shd w:fill="F1F5F9" w:color="auto" w:val="clear"/>
        <w:spacing w:after="180" w:before="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}</w:t>
      </w:r>
    </w:p>
    <w:p>
      <w:pPr>
        <w:spacing w:after="120" w:before="0" w:line="288"/>
      </w:pPr>
      <w:r>
        <w:rPr>
          <w:b w:val="false"/>
          <w:bCs w:val="false"/>
          <w:sz w:val="21"/>
          <w:szCs w:val="21"/>
        </w:rPr>
        <w:t xml:space="preserve">Códigos (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ErrorCode</w:t>
      </w:r>
      <w:r>
        <w:rPr>
          <w:b w:val="false"/>
          <w:bCs w:val="false"/>
          <w:sz w:val="21"/>
          <w:szCs w:val="21"/>
        </w:rPr>
        <w:t xml:space="preserve">):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MISSING_FIELD</w:t>
      </w:r>
      <w:r>
        <w:rPr>
          <w:b w:val="false"/>
          <w:b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INVALID_FORMAT</w:t>
      </w:r>
      <w:r>
        <w:rPr>
          <w:b w:val="false"/>
          <w:b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INVALID_ALIAS</w:t>
      </w:r>
      <w:r>
        <w:rPr>
          <w:b w:val="false"/>
          <w:b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IDEMPOTENCY_CONFLICT</w:t>
      </w:r>
      <w:r>
        <w:rPr>
          <w:b w:val="false"/>
          <w:b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IDEMPOTENCY_IN_PROGRESS</w:t>
      </w:r>
      <w:r>
        <w:rPr>
          <w:b w:val="false"/>
          <w:b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NOT_FOUND</w:t>
      </w:r>
      <w:r>
        <w:rPr>
          <w:b w:val="false"/>
          <w:b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UPSTREAM_TIMEOUT</w:t>
      </w:r>
      <w:r>
        <w:rPr>
          <w:b w:val="false"/>
          <w:b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UPSTREAM_ERROR</w:t>
      </w:r>
      <w:r>
        <w:rPr>
          <w:b w:val="false"/>
          <w:b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INTERNAL_ERROR</w:t>
      </w:r>
      <w:r>
        <w:rPr>
          <w:b w:val="false"/>
          <w:b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UNAUTHORIZED</w:t>
      </w:r>
      <w:r>
        <w:rPr>
          <w:b w:val="false"/>
          <w:b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FORBIDDEN</w:t>
      </w:r>
      <w:r>
        <w:rPr>
          <w:b w:val="false"/>
          <w:bCs w:val="false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RATE_LIMITED</w:t>
      </w:r>
      <w:r>
        <w:rPr>
          <w:b w:val="false"/>
          <w:bCs w:val="false"/>
          <w:sz w:val="21"/>
          <w:szCs w:val="21"/>
        </w:rPr>
        <w:t xml:space="preserve">.</w:t>
      </w:r>
    </w:p>
    <w:p>
      <w:pPr>
        <w:pBdr>
          <w:left w:val="single" w:color="2E5C9A" w:sz="24" w:space="8"/>
        </w:pBdr>
        <w:shd w:fill="EFF6FF" w:color="auto" w:val="clear"/>
        <w:spacing w:after="160" w:before="80" w:line="276"/>
        <w:ind w:left="200" w:right="100"/>
      </w:pPr>
      <w:r>
        <w:rPr>
          <w:b w:val="false"/>
          <w:bCs w:val="false"/>
          <w:color w:val="334155"/>
          <w:sz w:val="20"/>
          <w:szCs w:val="20"/>
        </w:rPr>
        <w:t xml:space="preserve">Los códigos son parte del contrato: no cambian de significado entre versiones.</w:t>
      </w:r>
    </w:p>
    <w:p>
      <w:pPr>
        <w:pStyle w:val="Heading1"/>
      </w:pPr>
      <w:r>
        <w:rPr>
          <w:b w:val="false"/>
          <w:bCs w:val="false"/>
          <w:sz w:val="21"/>
          <w:szCs w:val="21"/>
        </w:rPr>
        <w:t xml:space="preserve">4. Versionado de API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Versionado por </w:t>
      </w:r>
      <w:r>
        <w:rPr>
          <w:b/>
          <w:bCs/>
          <w:sz w:val="21"/>
          <w:szCs w:val="21"/>
        </w:rPr>
        <w:t xml:space="preserve">ruta</w:t>
      </w:r>
      <w:r>
        <w:rPr>
          <w:b w:val="false"/>
          <w:bCs w:val="false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/v1/...</w:t>
      </w:r>
      <w:r>
        <w:rPr>
          <w:b w:val="false"/>
          <w:bCs w:val="false"/>
          <w:sz w:val="21"/>
          <w:szCs w:val="21"/>
        </w:rPr>
        <w:t xml:space="preserve">). Cambios incompatibles →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/v2</w:t>
      </w:r>
      <w:r>
        <w:rPr>
          <w:b w:val="false"/>
          <w:bCs w:val="false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Campos nuevos opcionales no rompen consumidores (el cliente ignora desconocidos).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 w:val="false"/>
          <w:bCs w:val="false"/>
          <w:sz w:val="21"/>
          <w:szCs w:val="21"/>
        </w:rPr>
        <w:t xml:space="preserve">Deprecación: se anuncia mediante las cabeceras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Deprecation</w:t>
      </w:r>
      <w:r>
        <w:rPr>
          <w:b w:val="false"/>
          <w:bCs w:val="false"/>
          <w:sz w:val="21"/>
          <w:szCs w:val="21"/>
        </w:rPr>
        <w:t xml:space="preserve"> y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Sunset</w:t>
      </w:r>
      <w:r>
        <w:rPr>
          <w:b w:val="false"/>
          <w:bCs w:val="false"/>
          <w:sz w:val="21"/>
          <w:szCs w:val="21"/>
        </w:rPr>
        <w:t xml:space="preserve">, y se mantiene la convivencia de versiones.</w:t>
      </w:r>
    </w:p>
    <w:p>
      <w:pPr>
        <w:pStyle w:val="Heading1"/>
      </w:pPr>
      <w:r>
        <w:rPr>
          <w:b w:val="false"/>
          <w:bCs w:val="false"/>
          <w:sz w:val="21"/>
          <w:szCs w:val="21"/>
        </w:rPr>
        <w:t xml:space="preserve">5. Endpoint interno de callback de ABM</w:t>
      </w:r>
    </w:p>
    <w:p>
      <w:pPr>
        <w:spacing w:after="120" w:before="0" w:line="288"/>
      </w:pP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POST /internal/v1/abm/callbacks</w:t>
      </w:r>
      <w:r>
        <w:rPr>
          <w:b w:val="false"/>
          <w:bCs w:val="false"/>
          <w:sz w:val="21"/>
          <w:szCs w:val="21"/>
        </w:rPr>
        <w:t xml:space="preserve"> (solo worker, no expuesto públicamente):</w:t>
      </w:r>
    </w:p>
    <w:p>
      <w:pPr>
        <w:keepLines/>
        <w:pBdr>
          <w:left w:val="single" w:color="2E5C9A" w:sz="18" w:space="6"/>
        </w:pBdr>
        <w:shd w:fill="F1F5F9" w:color="auto" w:val="clear"/>
        <w:spacing w:after="180" w:before="100" w:line="252"/>
        <w:ind w:left="140"/>
      </w:pPr>
      <w:r>
        <w:rPr>
          <w:rFonts w:ascii="Consolas" w:cs="Consolas" w:eastAsia="Consolas" w:hAnsi="Consolas"/>
          <w:color w:val="1E293B"/>
          <w:sz w:val="17"/>
          <w:szCs w:val="17"/>
        </w:rPr>
        <w:t xml:space="preserve">{"nomination_id":"b1e2...","external_ref":"ABM-b1e2","result":"APPROVED","reason":null}</w:t>
      </w:r>
    </w:p>
    <w:p>
      <w:pPr>
        <w:spacing w:after="120" w:before="0" w:line="288"/>
      </w:pPr>
      <w:r>
        <w:rPr>
          <w:b w:val="false"/>
          <w:bCs w:val="false"/>
          <w:sz w:val="21"/>
          <w:szCs w:val="21"/>
        </w:rPr>
        <w:t xml:space="preserve">Respuesta: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{"nomination_id":"b1e2...","outcome":"APPLIED"}</w:t>
      </w:r>
      <w:r>
        <w:rPr>
          <w:b w:val="false"/>
          <w:bCs w:val="false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APPLIED</w:t>
      </w:r>
      <w:r>
        <w:rPr>
          <w:b w:val="false"/>
          <w:bCs w:val="false"/>
          <w:sz w:val="21"/>
          <w:szCs w:val="21"/>
        </w:rPr>
        <w:t xml:space="preserve"> |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DUPLICATE_IGNORED</w:t>
      </w:r>
      <w:r>
        <w:rPr>
          <w:b w:val="false"/>
          <w:bCs w:val="false"/>
          <w:sz w:val="21"/>
          <w:szCs w:val="21"/>
        </w:rPr>
        <w:t xml:space="preserve"> | </w:t>
      </w:r>
      <w:r>
        <w:rPr>
          <w:rFonts w:ascii="Consolas" w:cs="Consolas" w:eastAsia="Consolas" w:hAnsi="Consolas"/>
          <w:color w:val="9F1239"/>
          <w:sz w:val="19"/>
          <w:szCs w:val="19"/>
          <w:shd w:fill="F1F5F9" w:color="auto" w:val="clear"/>
        </w:rPr>
        <w:t xml:space="preserve">UNKNOWN</w:t>
      </w:r>
      <w:r>
        <w:rPr>
          <w:b w:val="false"/>
          <w:bCs w:val="false"/>
          <w:sz w:val="21"/>
          <w:szCs w:val="21"/>
        </w:rPr>
        <w:t xml:space="preserve">). Es idempotente: reentregas no duplican estado ni evento. En producción se protege con mTLS/firma.</w:t>
      </w:r>
    </w:p>
    <w:sectPr>
      <w:headerReference w:type="default" r:id="rId7"/>
      <w:footerReference w:type="default" r:id="rId8"/>
      <w:pgSz w:w="11906" w:h="16838" w:orient="portrait"/>
      <w:pgMar w:top="1300" w:right="1134" w:bottom="1200" w:left="1134" w:header="60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Documento 02  ·  Página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6"/>
        <w:szCs w:val="16"/>
      </w:rPr>
      <w:t xml:space="preserve"> de </w:t>
    </w:r>
    <w:r>
      <w:rPr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jc w:val="right"/>
    </w:pPr>
    <w:r>
      <w:rPr>
        <w:color w:val="64748B"/>
        <w:sz w:val="16"/>
        <w:szCs w:val="16"/>
      </w:rPr>
      <w:t xml:space="preserve">Nominación de cuentas y tarjetas  ·  Documentación de diseño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  <w:rPr>
        <w:color w:val="2E5C9A"/>
      </w:rPr>
    </w:lvl>
    <w:lvl w:ilvl="1" w15:tentative="1">
      <w:start w:val="1"/>
      <w:numFmt w:val="bullet"/>
      <w:lvlText w:val="–"/>
      <w:lvlJc w:val="left"/>
      <w:pPr>
        <w:ind w:left="960" w:hanging="260"/>
      </w:pPr>
      <w:rPr>
        <w:color w:val="2E5C9A"/>
      </w:rPr>
    </w:lvl>
    <w:lvl w:ilvl="2" w15:tentative="1">
      <w:start w:val="1"/>
      <w:numFmt w:val="bullet"/>
      <w:lvlText w:val="▪"/>
      <w:lvlJc w:val="left"/>
      <w:pPr>
        <w:ind w:left="1420" w:hanging="260"/>
      </w:pPr>
      <w:rPr>
        <w:color w:val="2E5C9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  <w:rPr>
        <w:b/>
        <w:bCs/>
        <w:color w:val="2E5C9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BD5E1" w:sz="4" w:space="3"/>
      </w:pBdr>
      <w:spacing w:after="140" w:before="36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60"/>
      <w:outlineLvl w:val="1"/>
    </w:pPr>
    <w:rPr>
      <w:rFonts w:ascii="Calibri" w:cs="Calibri" w:eastAsia="Calibri" w:hAnsi="Calibri"/>
      <w:b/>
      <w:bCs/>
      <w:color w:val="2E5C9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02 - Contratos de API, códigos HTTP y modelo de errores</dc:title>
  <dc:creator>Documentación técnica</dc:creator>
  <cp:lastModifiedBy>Un-named</cp:lastModifiedBy>
  <cp:revision>1</cp:revision>
  <dcterms:created xsi:type="dcterms:W3CDTF">2026-10-13T01:26:40.075Z</dcterms:created>
  <dcterms:modified xsi:type="dcterms:W3CDTF">2026-10-13T01:26:40.075Z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