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5C9A"/>
          <w:spacing w:val="40"/>
          <w:sz w:val="18"/>
          <w:szCs w:val="18"/>
        </w:rPr>
        <w:t xml:space="preserve">DOCUMENTO 03</w:t>
      </w:r>
    </w:p>
    <w:p>
      <w:pPr>
        <w:pBdr>
          <w:bottom w:val="single" w:color="2E5C9A" w:sz="12" w:space="8"/>
        </w:pBdr>
        <w:spacing w:after="160" w:before="0" w:line="320"/>
      </w:pPr>
      <w:r>
        <w:rPr>
          <w:b/>
          <w:bCs/>
          <w:color w:val="1F3A5F"/>
          <w:sz w:val="40"/>
          <w:szCs w:val="40"/>
        </w:rPr>
        <w:t xml:space="preserve">Modelo de datos, estados y auditoría</w:t>
      </w:r>
    </w:p>
    <w:p>
      <w:pPr>
        <w:spacing w:after="12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1. Estados (máquina de estados)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10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RECEIVED ──► SENT_TO_ABM ──► APPROVED        (E4)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│            ├─► REJECTED       (E5, rechazo funcional)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│            ├─► FAILED         (falla técnica, reintentos agotados)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│            └─► TIMEOUT        (ABM sin respuesta, reintentos agotados)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          │</w:t>
      </w:r>
    </w:p>
    <w:p>
      <w:pPr>
        <w:keepLines/>
        <w:pBdr>
          <w:left w:val="single" w:color="2E5C9A" w:sz="18" w:space="6"/>
        </w:pBdr>
        <w:shd w:fill="F1F5F9" w:color="auto" w:val="clear"/>
        <w:spacing w:after="18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RECEIVED ─────┴─► VALIDATION_FAILED          (E2, rechazo inmediato en el borde)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Terminales: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APPROVED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REJECTED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FAILED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TIMEOUT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VALIDATION_FAILED</w:t>
      </w:r>
      <w:r>
        <w:rPr>
          <w:b w:val="false"/>
          <w:bCs w:val="false"/>
          <w:sz w:val="21"/>
          <w:szCs w:val="21"/>
        </w:rPr>
        <w:t xml:space="preserve">. Los reintentos no crean estados nuevos: vuelven a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RECEIVED</w:t>
      </w:r>
      <w:r>
        <w:rPr>
          <w:b w:val="false"/>
          <w:bCs w:val="false"/>
          <w:sz w:val="21"/>
          <w:szCs w:val="21"/>
        </w:rPr>
        <w:t xml:space="preserve"> con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next_attempt_at</w:t>
      </w:r>
      <w:r>
        <w:rPr>
          <w:b w:val="false"/>
          <w:bCs w:val="false"/>
          <w:sz w:val="21"/>
          <w:szCs w:val="21"/>
        </w:rPr>
        <w:t xml:space="preserve"> (backoff).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Rechazo funcional</w:t>
      </w:r>
      <w:r>
        <w:rPr>
          <w:b w:val="false"/>
          <w:b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REJECTED</w:t>
      </w:r>
      <w:r>
        <w:rPr>
          <w:b w:val="false"/>
          <w:bCs w:val="false"/>
          <w:sz w:val="21"/>
          <w:szCs w:val="21"/>
        </w:rPr>
        <w:t xml:space="preserve">) = ABM entendió y decidió "no" → no se reintenta.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Falla técnica</w:t>
      </w:r>
      <w:r>
        <w:rPr>
          <w:b w:val="false"/>
          <w:b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FAILED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TIMEOUT</w:t>
      </w:r>
      <w:r>
        <w:rPr>
          <w:b w:val="false"/>
          <w:bCs w:val="false"/>
          <w:sz w:val="21"/>
          <w:szCs w:val="21"/>
        </w:rPr>
        <w:t xml:space="preserve">) = no hubo respuesta válida → se reintenta y luego termina.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2. Tablas</w:t>
      </w:r>
    </w:p>
    <w:p>
      <w:pPr>
        <w:pStyle w:val="Heading2"/>
      </w:pPr>
      <w:r>
        <w:rPr>
          <w:b w:val="false"/>
          <w:bCs w:val="false"/>
          <w:sz w:val="21"/>
          <w:szCs w:val="21"/>
        </w:rPr>
        <w:t xml:space="preserve">nomination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3"/>
        <w:gridCol w:w="2507"/>
        <w:gridCol w:w="3928"/>
      </w:tblGrid>
      <w:tr>
        <w:trPr>
          <w:cantSplit/>
          <w:tblHeader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 (PK)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nomination_id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account_ref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varchar(128)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referencia opaca para ABM; nunca se expone completa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card_token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varchar(256)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sz w:val="19"/>
                <w:szCs w:val="19"/>
              </w:rPr>
              <w:t xml:space="preserve">token</w:t>
            </w:r>
            <w:r>
              <w:rPr>
                <w:b w:val="false"/>
                <w:bCs w:val="false"/>
                <w:sz w:val="19"/>
                <w:szCs w:val="19"/>
              </w:rPr>
              <w:t xml:space="preserve">; nunca PAN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card_mask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****1234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alias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request_id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UUID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 de la solicitud del cliente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varchar(24)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result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varchar(24)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 normalizado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external_ref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varchar(128)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referencia de ABM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reason_code / reason_message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motivo normalizado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attempts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intentos contra ABM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next_attempt_at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backoff de reintento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correlation_id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varchar(64)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trazabilidad</w:t>
            </w: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created_at / updated_at / sent_to_abm_at / completed_at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</w:p>
        </w:tc>
      </w:tr>
      <w:tr>
        <w:trPr>
          <w:cantSplit/>
          <w:tblHeader w:val="false"/>
        </w:trPr>
        <w:tc>
          <w:tcPr>
            <w:tcW w:type="dxa" w:w="32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25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bigint</w:t>
            </w:r>
          </w:p>
        </w:tc>
        <w:tc>
          <w:tcPr>
            <w:tcW w:type="dxa" w:w="39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bloqueo optimista</w:t>
            </w:r>
          </w:p>
        </w:tc>
      </w:tr>
    </w:tbl>
    <w:p>
      <w:pPr>
        <w:spacing w:after="160" w:before="0"/>
      </w:pP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Índices: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status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request_id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correlation_id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Heading2"/>
      </w:pPr>
      <w:r>
        <w:rPr>
          <w:b w:val="false"/>
          <w:bCs w:val="false"/>
          <w:sz w:val="21"/>
          <w:szCs w:val="21"/>
        </w:rPr>
        <w:t xml:space="preserve">nomination_status_history (auditoría, inmutable)</w:t>
      </w:r>
    </w:p>
    <w:p>
      <w:pPr>
        <w:spacing w:after="120" w:before="0" w:line="288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nomination_id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from_status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to_status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reason_code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message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actor</w:t>
      </w:r>
      <w:r>
        <w:rPr>
          <w:b w:val="false"/>
          <w:b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API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WORKER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ABM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SYSTEM</w:t>
      </w:r>
      <w:r>
        <w:rPr>
          <w:b w:val="false"/>
          <w:bCs w:val="false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correlation_id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occurred_at</w:t>
      </w:r>
      <w:r>
        <w:rPr>
          <w:b w:val="false"/>
          <w:bCs w:val="false"/>
          <w:sz w:val="21"/>
          <w:szCs w:val="21"/>
        </w:rPr>
        <w:t xml:space="preserve">. Solo INSERT: nunca UPDATE ni DELETE. Permite reconstruir la trazabilidad end-to-end.</w:t>
      </w:r>
    </w:p>
    <w:p>
      <w:pPr>
        <w:pStyle w:val="Heading2"/>
      </w:pPr>
      <w:r>
        <w:rPr>
          <w:b w:val="false"/>
          <w:bCs w:val="false"/>
          <w:sz w:val="21"/>
          <w:szCs w:val="21"/>
        </w:rPr>
        <w:t xml:space="preserve">idempotency_record</w:t>
      </w:r>
    </w:p>
    <w:p>
      <w:pPr>
        <w:spacing w:after="120" w:before="0" w:line="288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idempotency_key</w:t>
      </w:r>
      <w:r>
        <w:rPr>
          <w:b w:val="false"/>
          <w:bCs w:val="false"/>
          <w:sz w:val="21"/>
          <w:szCs w:val="21"/>
        </w:rPr>
        <w:t xml:space="preserve"> (</w:t>
      </w:r>
      <w:r>
        <w:rPr>
          <w:b/>
          <w:bCs/>
          <w:sz w:val="21"/>
          <w:szCs w:val="21"/>
        </w:rPr>
        <w:t xml:space="preserve">unique</w:t>
      </w:r>
      <w:r>
        <w:rPr>
          <w:b w:val="false"/>
          <w:bCs w:val="false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request_hash</w:t>
      </w:r>
      <w:r>
        <w:rPr>
          <w:b w:val="false"/>
          <w:bCs w:val="false"/>
          <w:sz w:val="21"/>
          <w:szCs w:val="21"/>
        </w:rPr>
        <w:t xml:space="preserve"> (SHA-256),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nomination_id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response_status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response_body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created_at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expires_at</w:t>
      </w:r>
      <w:r>
        <w:rPr>
          <w:b w:val="false"/>
          <w:bCs w:val="false"/>
          <w:sz w:val="21"/>
          <w:szCs w:val="21"/>
        </w:rPr>
        <w:t xml:space="preserve">. La huella detecta reuso de la clave con un cuerpo distinto → 409.</w:t>
      </w:r>
    </w:p>
    <w:p>
      <w:pPr>
        <w:pStyle w:val="Heading2"/>
      </w:pPr>
      <w:r>
        <w:rPr>
          <w:b w:val="false"/>
          <w:bCs w:val="false"/>
          <w:sz w:val="21"/>
          <w:szCs w:val="21"/>
        </w:rPr>
        <w:t xml:space="preserve">outbox_event</w:t>
      </w:r>
    </w:p>
    <w:p>
      <w:pPr>
        <w:spacing w:after="120" w:before="0" w:line="288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id</w:t>
      </w:r>
      <w:r>
        <w:rPr>
          <w:b w:val="false"/>
          <w:bCs w:val="false"/>
          <w:sz w:val="21"/>
          <w:szCs w:val="21"/>
        </w:rPr>
        <w:t xml:space="preserve"> (=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eventId</w:t>
      </w:r>
      <w:r>
        <w:rPr>
          <w:b w:val="false"/>
          <w:bCs w:val="false"/>
          <w:sz w:val="21"/>
          <w:szCs w:val="21"/>
        </w:rPr>
        <w:t xml:space="preserve">, PK),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aggregate_type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aggregate_id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event_type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event_version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payload</w:t>
      </w:r>
      <w:r>
        <w:rPr>
          <w:b w:val="false"/>
          <w:bCs w:val="false"/>
          <w:sz w:val="21"/>
          <w:szCs w:val="21"/>
        </w:rPr>
        <w:t xml:space="preserve"> (text/JSON),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status</w:t>
      </w:r>
      <w:r>
        <w:rPr>
          <w:b w:val="false"/>
          <w:b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PENDING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PROCESSING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PUBLISHED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FAILED</w:t>
      </w:r>
      <w:r>
        <w:rPr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DLQ</w:t>
      </w:r>
      <w:r>
        <w:rPr>
          <w:b w:val="false"/>
          <w:bCs w:val="false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attempts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available_at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last_error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created_at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published_at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version</w:t>
      </w:r>
      <w:r>
        <w:rPr>
          <w:b w:val="false"/>
          <w:bCs w:val="false"/>
          <w:sz w:val="21"/>
          <w:szCs w:val="21"/>
        </w:rPr>
        <w:t xml:space="preserve">. Índice compuesto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(status, available_at)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3. Restricciones de unicidad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idempotency_record.idempotency_key</w:t>
      </w:r>
      <w:r>
        <w:rPr>
          <w:b w:val="false"/>
          <w:bCs w:val="false"/>
          <w:sz w:val="21"/>
          <w:szCs w:val="21"/>
        </w:rPr>
        <w:t xml:space="preserve"> → </w:t>
      </w:r>
      <w:r>
        <w:rPr>
          <w:b/>
          <w:bCs/>
          <w:sz w:val="21"/>
          <w:szCs w:val="21"/>
        </w:rPr>
        <w:t xml:space="preserve">unique</w:t>
      </w:r>
      <w:r>
        <w:rPr>
          <w:b w:val="false"/>
          <w:bCs w:val="false"/>
          <w:sz w:val="21"/>
          <w:szCs w:val="21"/>
        </w:rPr>
        <w:t xml:space="preserve"> (evita doble ingreso).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outbox_event.id</w:t>
      </w:r>
      <w:r>
        <w:rPr>
          <w:b w:val="false"/>
          <w:bCs w:val="false"/>
          <w:sz w:val="21"/>
          <w:szCs w:val="21"/>
        </w:rPr>
        <w:t xml:space="preserve"> =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eventId</w:t>
      </w:r>
      <w:r>
        <w:rPr>
          <w:b w:val="false"/>
          <w:bCs w:val="false"/>
          <w:sz w:val="21"/>
          <w:szCs w:val="21"/>
        </w:rPr>
        <w:t xml:space="preserve"> → la deduplicación de eventos en consumidores se apoya en esta clave.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nomination.id</w:t>
      </w:r>
      <w:r>
        <w:rPr>
          <w:b w:val="false"/>
          <w:bCs w:val="false"/>
          <w:sz w:val="21"/>
          <w:szCs w:val="21"/>
        </w:rPr>
        <w:t xml:space="preserve"> → PK.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nomination.version</w:t>
      </w:r>
      <w:r>
        <w:rPr>
          <w:b w:val="false"/>
          <w:bCs w:val="false"/>
          <w:sz w:val="21"/>
          <w:szCs w:val="21"/>
        </w:rPr>
        <w:t xml:space="preserve"> → control de concurrencia optimista (evita doble despacho y doble transición).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4. Protección de datos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No se persiste PAN ni datos sensibles completos.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card_id</w:t>
      </w:r>
      <w:r>
        <w:rPr>
          <w:b w:val="false"/>
          <w:bCs w:val="false"/>
          <w:sz w:val="21"/>
          <w:szCs w:val="21"/>
        </w:rPr>
        <w:t xml:space="preserve"> se guarda como </w:t>
      </w:r>
      <w:r>
        <w:rPr>
          <w:b/>
          <w:bCs/>
          <w:sz w:val="21"/>
          <w:szCs w:val="21"/>
        </w:rPr>
        <w:t xml:space="preserve">token</w:t>
      </w:r>
      <w:r>
        <w:rPr>
          <w:b w:val="false"/>
          <w:b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card_token</w:t>
      </w:r>
      <w:r>
        <w:rPr>
          <w:b w:val="false"/>
          <w:bCs w:val="false"/>
          <w:sz w:val="21"/>
          <w:szCs w:val="21"/>
        </w:rPr>
        <w:t xml:space="preserve">) y la vista pública solo expone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card_mask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account_id</w:t>
      </w:r>
      <w:r>
        <w:rPr>
          <w:b w:val="false"/>
          <w:bCs w:val="false"/>
          <w:sz w:val="21"/>
          <w:szCs w:val="21"/>
        </w:rPr>
        <w:t xml:space="preserve"> se conserva como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account_ref</w:t>
      </w:r>
      <w:r>
        <w:rPr>
          <w:b w:val="false"/>
          <w:bCs w:val="false"/>
          <w:sz w:val="21"/>
          <w:szCs w:val="21"/>
        </w:rPr>
        <w:t xml:space="preserve"> (referencia opaca necesaria para ABM) y se expone enmascarado.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Los logs nunca incluyen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card_token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account_ref</w:t>
      </w:r>
      <w:r>
        <w:rPr>
          <w:b w:val="false"/>
          <w:bCs w:val="false"/>
          <w:sz w:val="21"/>
          <w:szCs w:val="21"/>
        </w:rPr>
        <w:t xml:space="preserve"> completo ni credenciales.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03  ·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color w:val="64748B"/>
        <w:sz w:val="16"/>
        <w:szCs w:val="16"/>
      </w:rPr>
      <w:t xml:space="preserve">Nominación de cuentas y tarjetas  ·  Documentación de diseño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2E5C9A"/>
      </w:rPr>
    </w:lvl>
    <w:lvl w:ilvl="1" w15:tentative="1">
      <w:start w:val="1"/>
      <w:numFmt w:val="bullet"/>
      <w:lvlText w:val="–"/>
      <w:lvlJc w:val="left"/>
      <w:pPr>
        <w:ind w:left="960" w:hanging="260"/>
      </w:pPr>
      <w:rPr>
        <w:color w:val="2E5C9A"/>
      </w:rPr>
    </w:lvl>
    <w:lvl w:ilvl="2" w15:tentative="1">
      <w:start w:val="1"/>
      <w:numFmt w:val="bullet"/>
      <w:lvlText w:val="▪"/>
      <w:lvlJc w:val="left"/>
      <w:pPr>
        <w:ind w:left="1420" w:hanging="260"/>
      </w:pPr>
      <w:rPr>
        <w:color w:val="2E5C9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BD5E1" w:sz="4" w:space="3"/>
      </w:pBdr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E5C9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03 - Modelo de datos, estados y auditoría</dc:title>
  <dc:creator>Documentación técnica</dc:creator>
  <cp:lastModifiedBy>Un-named</cp:lastModifiedBy>
  <cp:revision>1</cp:revision>
  <dcterms:created xsi:type="dcterms:W3CDTF">2026-10-13T01:26:40.248Z</dcterms:created>
  <dcterms:modified xsi:type="dcterms:W3CDTF">2026-10-13T01:26:40.248Z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